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7" w:rsidRDefault="00467B27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27 февраля 2015 г. N 36268</w:t>
      </w:r>
    </w:p>
    <w:p w:rsidR="00467B27" w:rsidRDefault="00467B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РОССИЙСКОЙ ФЕДЕРАЦИИ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 февраля 2015 г. N 36ан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ДИСПАНСЕРИЗАЦИИ ОПРЕДЕЛЕННЫХ ГРУПП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ВЗРОСЛОГО НАСЕЛЕНИЯ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8"/>
          </w:rPr>
          <w:t>статьей 46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w:anchor="Par3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проведения диспансеризации определенных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 согласно приложению.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8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 xml:space="preserve">ослого населения" (зарегистрирован в Министерстве юстиции </w:t>
      </w:r>
      <w:proofErr w:type="spellStart"/>
      <w:r>
        <w:rPr>
          <w:rFonts w:cs="Times New Roman"/>
          <w:szCs w:val="28"/>
        </w:rPr>
        <w:t>РоссийскойФедерации</w:t>
      </w:r>
      <w:proofErr w:type="spellEnd"/>
      <w:r>
        <w:rPr>
          <w:rFonts w:cs="Times New Roman"/>
          <w:szCs w:val="28"/>
        </w:rPr>
        <w:t xml:space="preserve"> 1 апреля 2013 г., регистрационный N 27930).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с 1 апреля 2015 года.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Врио</w:t>
      </w:r>
      <w:proofErr w:type="spellEnd"/>
      <w:r>
        <w:rPr>
          <w:rFonts w:cs="Times New Roman"/>
          <w:szCs w:val="28"/>
        </w:rPr>
        <w:t xml:space="preserve"> Министра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Д.В.КОСТЕННИКОВ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>Приложение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ПОРЯДОК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ДИСПАНСЕРИЗАЦИИ ОПРЕДЕЛЕННЫХ ГРУПП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ВЗРОСЛОГО НАСЕЛЕНИЯ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 xml:space="preserve">ослого </w:t>
      </w:r>
      <w:r>
        <w:rPr>
          <w:rFonts w:cs="Times New Roman"/>
          <w:szCs w:val="28"/>
        </w:rPr>
        <w:lastRenderedPageBreak/>
        <w:t>населения (в возрасте от 18 лет и старше):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работающие граждане;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неработающие граждане;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в образовательных организациях по очной форме.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&lt;1&gt;</w:t>
      </w:r>
      <w:hyperlink r:id="rId9" w:history="1">
        <w:r>
          <w:rPr>
            <w:rFonts w:cs="Times New Roman"/>
            <w:color w:val="0000FF"/>
            <w:szCs w:val="28"/>
          </w:rPr>
          <w:t>Статья 46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cs="Times New Roman"/>
          <w:szCs w:val="28"/>
        </w:rPr>
        <w:t xml:space="preserve"> назначения врача;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rPr>
          <w:rFonts w:cs="Times New Roman"/>
          <w:szCs w:val="28"/>
        </w:rPr>
        <w:t>сердечно-сосудистым</w:t>
      </w:r>
      <w:proofErr w:type="spellEnd"/>
      <w:proofErr w:type="gramEnd"/>
      <w:r>
        <w:rPr>
          <w:rFonts w:cs="Times New Roman"/>
          <w:szCs w:val="28"/>
        </w:rPr>
        <w:t xml:space="preserve"> риском;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r>
        <w:rPr>
          <w:rFonts w:cs="Times New Roman"/>
          <w:szCs w:val="28"/>
        </w:rPr>
        <w:lastRenderedPageBreak/>
        <w:t xml:space="preserve">суммарным </w:t>
      </w:r>
      <w:proofErr w:type="spellStart"/>
      <w:proofErr w:type="gramStart"/>
      <w:r>
        <w:rPr>
          <w:rFonts w:cs="Times New Roman"/>
          <w:szCs w:val="28"/>
        </w:rPr>
        <w:t>сердечно-сосудистым</w:t>
      </w:r>
      <w:proofErr w:type="spellEnd"/>
      <w:proofErr w:type="gramEnd"/>
      <w:r>
        <w:rPr>
          <w:rFonts w:cs="Times New Roman"/>
          <w:szCs w:val="28"/>
        </w:rPr>
        <w:t xml:space="preserve"> риском.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 &lt;1&gt;, за исключением: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52"/>
      <w:bookmarkEnd w:id="3"/>
      <w:r>
        <w:rPr>
          <w:rFonts w:cs="Times New Roman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со </w:t>
      </w:r>
      <w:hyperlink r:id="rId10" w:history="1">
        <w:r>
          <w:rPr>
            <w:rFonts w:cs="Times New Roman"/>
            <w:color w:val="0000FF"/>
            <w:szCs w:val="28"/>
          </w:rPr>
          <w:t>статьей 4</w:t>
        </w:r>
      </w:hyperlink>
      <w:r>
        <w:rPr>
          <w:rFonts w:cs="Times New Roman"/>
          <w:szCs w:val="28"/>
        </w:rPr>
        <w:t xml:space="preserve">, </w:t>
      </w:r>
      <w:hyperlink r:id="rId11" w:history="1">
        <w:r>
          <w:rPr>
            <w:rFonts w:cs="Times New Roman"/>
            <w:color w:val="0000FF"/>
            <w:szCs w:val="28"/>
          </w:rPr>
          <w:t>подпунктом 11 пункта 1 статьи 14</w:t>
        </w:r>
      </w:hyperlink>
      <w:r>
        <w:rPr>
          <w:rFonts w:cs="Times New Roman"/>
          <w:szCs w:val="28"/>
        </w:rPr>
        <w:t xml:space="preserve"> и </w:t>
      </w:r>
      <w:hyperlink r:id="rId12" w:history="1">
        <w:r>
          <w:rPr>
            <w:rFonts w:cs="Times New Roman"/>
            <w:color w:val="0000FF"/>
            <w:szCs w:val="28"/>
          </w:rPr>
          <w:t>пунктом 2 статьи 15</w:t>
        </w:r>
      </w:hyperlink>
      <w:r>
        <w:rPr>
          <w:rFonts w:cs="Times New Roman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cs="Times New Roman"/>
          <w:szCs w:val="28"/>
        </w:rPr>
        <w:t>N 48, ст. 6165; 2014, N 52, ст. 7537).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подпунктом 1 пункта 2 статьи 18</w:t>
        </w:r>
      </w:hyperlink>
      <w:r>
        <w:rPr>
          <w:rFonts w:cs="Times New Roman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cs="Times New Roman"/>
          <w:szCs w:val="28"/>
        </w:rPr>
        <w:t>N 52, ст. 6403; 2010, N 19, ст. 2287; N 31, ст. 4206; N 50, ст. 6609; 2013, N 48, ст. 6165).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4" w:name="Par60"/>
      <w:bookmarkEnd w:id="4"/>
      <w:r>
        <w:rPr>
          <w:rFonts w:cs="Times New Roman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14" w:history="1">
        <w:r>
          <w:rPr>
            <w:rFonts w:cs="Times New Roman"/>
            <w:color w:val="0000FF"/>
            <w:szCs w:val="28"/>
          </w:rPr>
          <w:t>частью 8 статьи 154</w:t>
        </w:r>
      </w:hyperlink>
      <w:r>
        <w:rPr>
          <w:rFonts w:cs="Times New Roman"/>
          <w:szCs w:val="28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</w:t>
      </w:r>
      <w:r>
        <w:rPr>
          <w:rFonts w:cs="Times New Roman"/>
          <w:szCs w:val="28"/>
        </w:rPr>
        <w:lastRenderedPageBreak/>
        <w:t>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в </w:t>
      </w:r>
      <w:hyperlink w:anchor="Par52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w:anchor="Par60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Диспансеризация граждан, указанных в </w:t>
      </w:r>
      <w:hyperlink w:anchor="Par52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w:anchor="Par60" w:history="1">
        <w:r>
          <w:rPr>
            <w:rFonts w:cs="Times New Roman"/>
            <w:color w:val="0000FF"/>
            <w:szCs w:val="28"/>
          </w:rPr>
          <w:t>3 пункта 4</w:t>
        </w:r>
      </w:hyperlink>
      <w:r>
        <w:rPr>
          <w:rFonts w:cs="Times New Roman"/>
          <w:szCs w:val="28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cs="Times New Roman"/>
          <w:szCs w:val="28"/>
        </w:rPr>
        <w:t>", "</w:t>
      </w:r>
      <w:proofErr w:type="gramStart"/>
      <w:r>
        <w:rPr>
          <w:rFonts w:cs="Times New Roman"/>
          <w:szCs w:val="28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cs="Times New Roman"/>
          <w:szCs w:val="28"/>
        </w:rPr>
        <w:t>Сколково</w:t>
      </w:r>
      <w:proofErr w:type="spellEnd"/>
      <w:r>
        <w:rPr>
          <w:rFonts w:cs="Times New Roman"/>
          <w:szCs w:val="28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cs="Times New Roman"/>
          <w:szCs w:val="28"/>
        </w:rPr>
        <w:t>N 37, ст. 5002; 2013, N 3, ст. 207; N 16, ст. 1970).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6" w:history="1">
        <w:r>
          <w:rPr>
            <w:rFonts w:cs="Times New Roman"/>
            <w:color w:val="0000FF"/>
            <w:szCs w:val="28"/>
          </w:rPr>
          <w:t>статьей 20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</w:t>
      </w:r>
      <w:proofErr w:type="spellStart"/>
      <w:r>
        <w:rPr>
          <w:rFonts w:cs="Times New Roman"/>
          <w:szCs w:val="28"/>
        </w:rPr>
        <w:t>законодательстваРоссийской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Федерации, 2011, N 48, ст. 6724; 2013, N 48, ст. 6165).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</w:t>
      </w:r>
      <w:r>
        <w:rPr>
          <w:rFonts w:cs="Times New Roman"/>
          <w:szCs w:val="28"/>
        </w:rPr>
        <w:lastRenderedPageBreak/>
        <w:t xml:space="preserve">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приказом Министерства здравоохранения и социального развития Российской Федерации от 23 марта 2012 г. N252н</w:t>
      </w:r>
      <w:proofErr w:type="gramEnd"/>
      <w:r>
        <w:rPr>
          <w:rFonts w:cs="Times New Roman"/>
          <w:szCs w:val="28"/>
        </w:rPr>
        <w:t xml:space="preserve"> "</w:t>
      </w:r>
      <w:proofErr w:type="gramStart"/>
      <w:r>
        <w:rPr>
          <w:rFonts w:cs="Times New Roman"/>
          <w:szCs w:val="28"/>
        </w:rPr>
        <w:t xml:space="preserve"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</w:t>
      </w:r>
      <w:proofErr w:type="spellStart"/>
      <w:r>
        <w:rPr>
          <w:rFonts w:cs="Times New Roman"/>
          <w:szCs w:val="28"/>
        </w:rPr>
        <w:t>РоссийскойФедерации</w:t>
      </w:r>
      <w:proofErr w:type="spellEnd"/>
      <w:r>
        <w:rPr>
          <w:rFonts w:cs="Times New Roman"/>
          <w:szCs w:val="28"/>
        </w:rPr>
        <w:t xml:space="preserve"> 28</w:t>
      </w:r>
      <w:proofErr w:type="gramEnd"/>
      <w:r>
        <w:rPr>
          <w:rFonts w:cs="Times New Roman"/>
          <w:szCs w:val="28"/>
        </w:rPr>
        <w:t xml:space="preserve"> апреля 2012 г., регистрационный N 23971).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</w:t>
      </w:r>
      <w:proofErr w:type="spellStart"/>
      <w:r>
        <w:rPr>
          <w:rFonts w:cs="Times New Roman"/>
          <w:szCs w:val="28"/>
        </w:rPr>
        <w:t>экспресс-методом</w:t>
      </w:r>
      <w:proofErr w:type="spellEnd"/>
      <w:r>
        <w:rPr>
          <w:rFonts w:cs="Times New Roman"/>
          <w:szCs w:val="28"/>
        </w:rPr>
        <w:t>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cs="Times New Roman"/>
          <w:szCs w:val="28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П</w:t>
      </w:r>
      <w:proofErr w:type="gramEnd"/>
      <w:r>
        <w:rPr>
          <w:rFonts w:cs="Times New Roman"/>
          <w:szCs w:val="28"/>
        </w:rPr>
        <w:t>ри наличии необходимого оборудования.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определение факторов риска хронических неинфекционных </w:t>
      </w:r>
      <w:r>
        <w:rPr>
          <w:rFonts w:cs="Times New Roman"/>
          <w:szCs w:val="28"/>
        </w:rPr>
        <w:lastRenderedPageBreak/>
        <w:t xml:space="preserve">заболеваний на основании диагностических критериев, предусмотренных </w:t>
      </w:r>
      <w:hyperlink w:anchor="Par1279" w:history="1">
        <w:r>
          <w:rPr>
            <w:rFonts w:cs="Times New Roman"/>
            <w:color w:val="0000FF"/>
            <w:szCs w:val="28"/>
          </w:rPr>
          <w:t>приложением N 2</w:t>
        </w:r>
      </w:hyperlink>
      <w:r>
        <w:rPr>
          <w:rFonts w:cs="Times New Roman"/>
          <w:szCs w:val="28"/>
        </w:rPr>
        <w:t xml:space="preserve"> к настоящему Порядку;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8" w:history="1">
        <w:r>
          <w:rPr>
            <w:rFonts w:cs="Times New Roman"/>
            <w:color w:val="0000FF"/>
            <w:szCs w:val="28"/>
          </w:rPr>
          <w:t>частью 3 статьи 97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Основными задачами врача-терапевта при проведении диспансеризации являются: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</w:t>
      </w:r>
      <w:proofErr w:type="spellStart"/>
      <w:r>
        <w:rPr>
          <w:rFonts w:cs="Times New Roman"/>
          <w:szCs w:val="28"/>
        </w:rPr>
        <w:t>сердечно-сосудистого</w:t>
      </w:r>
      <w:proofErr w:type="spellEnd"/>
      <w:r>
        <w:rPr>
          <w:rFonts w:cs="Times New Roman"/>
          <w:szCs w:val="28"/>
        </w:rPr>
        <w:t xml:space="preserve"> риска у граждан в возрасте от 21 до 39 лет и абсолютного суммарного </w:t>
      </w:r>
      <w:proofErr w:type="spellStart"/>
      <w:r>
        <w:rPr>
          <w:rFonts w:cs="Times New Roman"/>
          <w:szCs w:val="28"/>
        </w:rPr>
        <w:t>сердечно-сосудистого</w:t>
      </w:r>
      <w:proofErr w:type="spellEnd"/>
      <w:r>
        <w:rPr>
          <w:rFonts w:cs="Times New Roman"/>
          <w:szCs w:val="28"/>
        </w:rPr>
        <w:t xml:space="preserve">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cs="Times New Roman"/>
          <w:szCs w:val="28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4) проведение краткого профилактического консультирования, </w:t>
      </w:r>
      <w:r>
        <w:rPr>
          <w:rFonts w:cs="Times New Roman"/>
          <w:szCs w:val="28"/>
        </w:rPr>
        <w:lastRenderedPageBreak/>
        <w:t>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участие в оформлении (ведении) медицинской документации;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подведение итогов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rPr>
          <w:rFonts w:cs="Times New Roman"/>
          <w:szCs w:val="28"/>
        </w:rPr>
        <w:t>экспресс-методом</w:t>
      </w:r>
      <w:proofErr w:type="spellEnd"/>
      <w:r>
        <w:rPr>
          <w:rFonts w:cs="Times New Roman"/>
          <w:szCs w:val="28"/>
        </w:rPr>
        <w:t>, измерение внутриглазного давления бесконтактным методом);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</w:t>
      </w:r>
      <w:r>
        <w:rPr>
          <w:rFonts w:cs="Times New Roman"/>
          <w:szCs w:val="28"/>
        </w:rPr>
        <w:lastRenderedPageBreak/>
        <w:t xml:space="preserve">диспансеризации по форме, утверждаемой в соответствии с </w:t>
      </w:r>
      <w:hyperlink r:id="rId19" w:history="1">
        <w:r>
          <w:rPr>
            <w:rFonts w:cs="Times New Roman"/>
            <w:color w:val="0000FF"/>
            <w:szCs w:val="28"/>
          </w:rPr>
          <w:t>частью 3 статьи 97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13. Диспансеризация проводится в два этапа.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5" w:name="Par117"/>
      <w:bookmarkEnd w:id="5"/>
      <w:r>
        <w:rPr>
          <w:rFonts w:cs="Times New Roman"/>
          <w:szCs w:val="28"/>
        </w:rPr>
        <w:t xml:space="preserve">13.1. </w:t>
      </w:r>
      <w:proofErr w:type="gramStart"/>
      <w:r>
        <w:rPr>
          <w:rFonts w:cs="Times New Roman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антропометрию (измерение </w:t>
      </w:r>
      <w:proofErr w:type="gramStart"/>
      <w:r>
        <w:rPr>
          <w:rFonts w:cs="Times New Roman"/>
          <w:szCs w:val="28"/>
        </w:rPr>
        <w:t>роста</w:t>
      </w:r>
      <w:proofErr w:type="gramEnd"/>
      <w:r>
        <w:rPr>
          <w:rFonts w:cs="Times New Roman"/>
          <w:szCs w:val="28"/>
        </w:rPr>
        <w:t xml:space="preserve"> стоя, массы тела, окружности талии), расчет индекса массы тела;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измерение артериального давления;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6" w:name="Par121"/>
      <w:bookmarkEnd w:id="6"/>
      <w:r>
        <w:rPr>
          <w:rFonts w:cs="Times New Roman"/>
          <w:szCs w:val="28"/>
        </w:rPr>
        <w:t>4) определение уровня общего холестерина в крови (допускается использование экспресс-метода);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7" w:name="Par122"/>
      <w:bookmarkEnd w:id="7"/>
      <w:r>
        <w:rPr>
          <w:rFonts w:cs="Times New Roman"/>
          <w:szCs w:val="28"/>
        </w:rPr>
        <w:t xml:space="preserve">5) определение уровня глюкозы в крови </w:t>
      </w:r>
      <w:proofErr w:type="spellStart"/>
      <w:proofErr w:type="gramStart"/>
      <w:r>
        <w:rPr>
          <w:rFonts w:cs="Times New Roman"/>
          <w:szCs w:val="28"/>
        </w:rPr>
        <w:t>экспресс-методом</w:t>
      </w:r>
      <w:proofErr w:type="spellEnd"/>
      <w:proofErr w:type="gramEnd"/>
      <w:r>
        <w:rPr>
          <w:rFonts w:cs="Times New Roman"/>
          <w:szCs w:val="28"/>
        </w:rPr>
        <w:t xml:space="preserve"> (допускается лабораторный метод);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определение относительного суммарного </w:t>
      </w:r>
      <w:proofErr w:type="spellStart"/>
      <w:proofErr w:type="gramStart"/>
      <w:r>
        <w:rPr>
          <w:rFonts w:cs="Times New Roman"/>
          <w:szCs w:val="28"/>
        </w:rPr>
        <w:t>сердечно-сосудистого</w:t>
      </w:r>
      <w:proofErr w:type="spellEnd"/>
      <w:proofErr w:type="gramEnd"/>
      <w:r>
        <w:rPr>
          <w:rFonts w:cs="Times New Roman"/>
          <w:szCs w:val="28"/>
        </w:rPr>
        <w:t xml:space="preserve"> риска у граждан в возрасте от 21 до 39 лет и абсолютного суммарного </w:t>
      </w:r>
      <w:proofErr w:type="spellStart"/>
      <w:r>
        <w:rPr>
          <w:rFonts w:cs="Times New Roman"/>
          <w:szCs w:val="28"/>
        </w:rPr>
        <w:t>сердечно-сосудистого</w:t>
      </w:r>
      <w:proofErr w:type="spellEnd"/>
      <w:r>
        <w:rPr>
          <w:rFonts w:cs="Times New Roman"/>
          <w:szCs w:val="28"/>
        </w:rPr>
        <w:t xml:space="preserve"> риска у граждан в возрасте от 40 до 65 лет, не имеющих заболеваний, связанных с атеросклерозом;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З</w:t>
      </w:r>
      <w:proofErr w:type="gramEnd"/>
      <w:r>
        <w:rPr>
          <w:rFonts w:cs="Times New Roman"/>
          <w:szCs w:val="28"/>
        </w:rPr>
        <w:t xml:space="preserve">а исключением случаев невозможности проведения исследования </w:t>
      </w:r>
      <w:r>
        <w:rPr>
          <w:rFonts w:cs="Times New Roman"/>
          <w:szCs w:val="28"/>
        </w:rPr>
        <w:lastRenderedPageBreak/>
        <w:t xml:space="preserve">по медицинским показаниям в связи с экстирпацией матки, </w:t>
      </w:r>
      <w:proofErr w:type="spellStart"/>
      <w:r>
        <w:rPr>
          <w:rFonts w:cs="Times New Roman"/>
          <w:szCs w:val="28"/>
        </w:rPr>
        <w:t>virgo</w:t>
      </w:r>
      <w:proofErr w:type="spellEnd"/>
      <w:r>
        <w:rPr>
          <w:rFonts w:cs="Times New Roman"/>
          <w:szCs w:val="28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cs="Times New Roman"/>
          <w:szCs w:val="28"/>
        </w:rPr>
        <w:t>Папаниколау</w:t>
      </w:r>
      <w:proofErr w:type="spellEnd"/>
      <w:r>
        <w:rPr>
          <w:rFonts w:cs="Times New Roman"/>
          <w:szCs w:val="28"/>
        </w:rPr>
        <w:t>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флюорографию легких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>
        <w:rPr>
          <w:rFonts w:cs="Times New Roman"/>
          <w:szCs w:val="28"/>
        </w:rPr>
        <w:t>года</w:t>
      </w:r>
      <w:proofErr w:type="gramEnd"/>
      <w:r>
        <w:rPr>
          <w:rFonts w:cs="Times New Roman"/>
          <w:szCs w:val="28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10) маммографию обеих молочных желез (для женщин в возрасте от 39 до 75 лет)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З</w:t>
      </w:r>
      <w:proofErr w:type="gramEnd"/>
      <w:r>
        <w:rPr>
          <w:rFonts w:cs="Times New Roman"/>
          <w:szCs w:val="28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cs="Times New Roman"/>
          <w:szCs w:val="28"/>
        </w:rPr>
        <w:t>мастэктомией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Припроведения</w:t>
      </w:r>
      <w:proofErr w:type="spellEnd"/>
      <w:r>
        <w:rPr>
          <w:rFonts w:cs="Times New Roman"/>
          <w:szCs w:val="28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rPr>
          <w:rFonts w:cs="Times New Roman"/>
          <w:szCs w:val="28"/>
        </w:rPr>
        <w:t>креатинина</w:t>
      </w:r>
      <w:proofErr w:type="spellEnd"/>
      <w:r>
        <w:rPr>
          <w:rFonts w:cs="Times New Roman"/>
          <w:szCs w:val="28"/>
        </w:rPr>
        <w:t xml:space="preserve">, общего билирубина, </w:t>
      </w:r>
      <w:proofErr w:type="spellStart"/>
      <w:r>
        <w:rPr>
          <w:rFonts w:cs="Times New Roman"/>
          <w:szCs w:val="28"/>
        </w:rPr>
        <w:t>аспартат-аминотрансаминазы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аланин-аминотрансаминазы</w:t>
      </w:r>
      <w:proofErr w:type="spellEnd"/>
      <w:r>
        <w:rPr>
          <w:rFonts w:cs="Times New Roman"/>
          <w:szCs w:val="28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cs="Times New Roman"/>
            <w:color w:val="0000FF"/>
            <w:szCs w:val="28"/>
          </w:rPr>
          <w:t>подпунктами 4</w:t>
        </w:r>
      </w:hyperlink>
      <w:r>
        <w:rPr>
          <w:rFonts w:cs="Times New Roman"/>
          <w:szCs w:val="28"/>
        </w:rPr>
        <w:t xml:space="preserve"> и </w:t>
      </w:r>
      <w:hyperlink w:anchor="Par122" w:history="1">
        <w:r>
          <w:rPr>
            <w:rFonts w:cs="Times New Roman"/>
            <w:color w:val="0000FF"/>
            <w:szCs w:val="28"/>
          </w:rPr>
          <w:t>5</w:t>
        </w:r>
      </w:hyperlink>
      <w:r>
        <w:rPr>
          <w:rFonts w:cs="Times New Roman"/>
          <w:szCs w:val="28"/>
        </w:rPr>
        <w:t xml:space="preserve"> настоящего пункта);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14) общий анализ мочи;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cs="Times New Roman"/>
          <w:szCs w:val="28"/>
        </w:rPr>
        <w:t>бензидиновой</w:t>
      </w:r>
      <w:proofErr w:type="spellEnd"/>
      <w:r>
        <w:rPr>
          <w:rFonts w:cs="Times New Roman"/>
          <w:szCs w:val="28"/>
        </w:rPr>
        <w:t xml:space="preserve"> или гваяковой пробы) (для граждан в возрасте от 48 до 75 лет);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УЗИ органов брюшной полости не проводится, если гражданину в течение предшествующих 2 </w:t>
      </w:r>
      <w:proofErr w:type="gramStart"/>
      <w:r>
        <w:rPr>
          <w:rFonts w:cs="Times New Roman"/>
          <w:szCs w:val="28"/>
        </w:rPr>
        <w:t>лет</w:t>
      </w:r>
      <w:proofErr w:type="gramEnd"/>
      <w:r>
        <w:rPr>
          <w:rFonts w:cs="Times New Roman"/>
          <w:szCs w:val="28"/>
        </w:rPr>
        <w:t xml:space="preserve">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17) измерение внутриглазного давления (для граждан в возрасте 39 лет и старше);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0" w:history="1">
        <w:r>
          <w:rPr>
            <w:rFonts w:cs="Times New Roman"/>
            <w:color w:val="0000FF"/>
            <w:szCs w:val="28"/>
          </w:rPr>
          <w:t>приложением N 8</w:t>
        </w:r>
      </w:hyperlink>
      <w:r>
        <w:rPr>
          <w:rFonts w:cs="Times New Roman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</w:t>
      </w:r>
      <w:proofErr w:type="spellStart"/>
      <w:r>
        <w:rPr>
          <w:rFonts w:cs="Times New Roman"/>
          <w:szCs w:val="28"/>
        </w:rPr>
        <w:t>регистрационныйN</w:t>
      </w:r>
      <w:proofErr w:type="spellEnd"/>
      <w:proofErr w:type="gramEnd"/>
      <w:r>
        <w:rPr>
          <w:rFonts w:cs="Times New Roman"/>
          <w:szCs w:val="28"/>
        </w:rPr>
        <w:t xml:space="preserve"> 24726).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8" w:name="Par150"/>
      <w:bookmarkEnd w:id="8"/>
      <w:r>
        <w:rPr>
          <w:rFonts w:cs="Times New Roman"/>
          <w:szCs w:val="28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>, избыточная масса тела или ожирение);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proofErr w:type="spellStart"/>
      <w:r>
        <w:rPr>
          <w:rFonts w:cs="Times New Roman"/>
          <w:szCs w:val="28"/>
        </w:rPr>
        <w:t>эзофагогастродуоденоскопию</w:t>
      </w:r>
      <w:proofErr w:type="spellEnd"/>
      <w:r>
        <w:rPr>
          <w:rFonts w:cs="Times New Roman"/>
          <w:szCs w:val="28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</w:t>
      </w:r>
      <w:r>
        <w:rPr>
          <w:rFonts w:cs="Times New Roman"/>
          <w:szCs w:val="28"/>
        </w:rPr>
        <w:lastRenderedPageBreak/>
        <w:t>онкологическим заболеваниям органов желудочно-кишечного тракта);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осмотр (консультацию) врачом-хирургом или </w:t>
      </w:r>
      <w:proofErr w:type="spellStart"/>
      <w:r>
        <w:rPr>
          <w:rFonts w:cs="Times New Roman"/>
          <w:szCs w:val="28"/>
        </w:rPr>
        <w:t>врачом-колопроктологом</w:t>
      </w:r>
      <w:proofErr w:type="spellEnd"/>
      <w:r>
        <w:rPr>
          <w:rFonts w:cs="Times New Roman"/>
          <w:szCs w:val="28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cs="Times New Roman"/>
          <w:szCs w:val="28"/>
        </w:rPr>
        <w:t>полипозу</w:t>
      </w:r>
      <w:proofErr w:type="spellEnd"/>
      <w:r>
        <w:rPr>
          <w:rFonts w:cs="Times New Roman"/>
          <w:szCs w:val="28"/>
        </w:rPr>
        <w:t xml:space="preserve">, онкологическим заболеваниям </w:t>
      </w:r>
      <w:proofErr w:type="spellStart"/>
      <w:r>
        <w:rPr>
          <w:rFonts w:cs="Times New Roman"/>
          <w:szCs w:val="28"/>
        </w:rPr>
        <w:t>колоректальной</w:t>
      </w:r>
      <w:proofErr w:type="spellEnd"/>
      <w:r>
        <w:rPr>
          <w:rFonts w:cs="Times New Roman"/>
          <w:szCs w:val="28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cs="Times New Roman"/>
          <w:szCs w:val="28"/>
        </w:rPr>
        <w:t>колоректальной</w:t>
      </w:r>
      <w:proofErr w:type="spellEnd"/>
      <w:r>
        <w:rPr>
          <w:rFonts w:cs="Times New Roman"/>
          <w:szCs w:val="28"/>
        </w:rPr>
        <w:t xml:space="preserve"> области);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proofErr w:type="spellStart"/>
      <w:r>
        <w:rPr>
          <w:rFonts w:cs="Times New Roman"/>
          <w:szCs w:val="28"/>
        </w:rPr>
        <w:t>колоноскопию</w:t>
      </w:r>
      <w:proofErr w:type="spellEnd"/>
      <w:r>
        <w:rPr>
          <w:rFonts w:cs="Times New Roman"/>
          <w:szCs w:val="28"/>
        </w:rPr>
        <w:t xml:space="preserve"> или </w:t>
      </w:r>
      <w:proofErr w:type="spellStart"/>
      <w:r>
        <w:rPr>
          <w:rFonts w:cs="Times New Roman"/>
          <w:szCs w:val="28"/>
        </w:rPr>
        <w:t>ректороманоскопию</w:t>
      </w:r>
      <w:proofErr w:type="spellEnd"/>
      <w:r>
        <w:rPr>
          <w:rFonts w:cs="Times New Roman"/>
          <w:szCs w:val="28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>
        <w:rPr>
          <w:rFonts w:cs="Times New Roman"/>
          <w:szCs w:val="28"/>
        </w:rPr>
        <w:t>врача-колопроктолога</w:t>
      </w:r>
      <w:proofErr w:type="spellEnd"/>
      <w:r>
        <w:rPr>
          <w:rFonts w:cs="Times New Roman"/>
          <w:szCs w:val="28"/>
        </w:rPr>
        <w:t>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>
        <w:rPr>
          <w:rFonts w:cs="Times New Roman"/>
          <w:szCs w:val="28"/>
        </w:rPr>
        <w:t>триглицеридов</w:t>
      </w:r>
      <w:proofErr w:type="spellEnd"/>
      <w:r>
        <w:rPr>
          <w:rFonts w:cs="Times New Roman"/>
          <w:szCs w:val="28"/>
        </w:rPr>
        <w:t>) (для граждан с выявленным повышением уровня общего холестерина в крови);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спирометрию (для граждан с подозрением на хроническое </w:t>
      </w:r>
      <w:proofErr w:type="spellStart"/>
      <w:r>
        <w:rPr>
          <w:rFonts w:cs="Times New Roman"/>
          <w:szCs w:val="28"/>
        </w:rPr>
        <w:t>бронхо-легочное</w:t>
      </w:r>
      <w:proofErr w:type="spellEnd"/>
      <w:r>
        <w:rPr>
          <w:rFonts w:cs="Times New Roman"/>
          <w:szCs w:val="28"/>
        </w:rPr>
        <w:t xml:space="preserve"> заболевание по результатам анкетирования, курящих и по направлению врача-терапевта);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определение концентрации </w:t>
      </w:r>
      <w:proofErr w:type="spellStart"/>
      <w:r>
        <w:rPr>
          <w:rFonts w:cs="Times New Roman"/>
          <w:szCs w:val="28"/>
        </w:rPr>
        <w:t>гликированного</w:t>
      </w:r>
      <w:proofErr w:type="spellEnd"/>
      <w:r>
        <w:rPr>
          <w:rFonts w:cs="Times New Roman"/>
          <w:szCs w:val="28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осмотр (консультацию) </w:t>
      </w:r>
      <w:proofErr w:type="spellStart"/>
      <w:r>
        <w:rPr>
          <w:rFonts w:cs="Times New Roman"/>
          <w:szCs w:val="28"/>
        </w:rPr>
        <w:t>врачом-оториноларингологом</w:t>
      </w:r>
      <w:proofErr w:type="spellEnd"/>
      <w:r>
        <w:rPr>
          <w:rFonts w:cs="Times New Roman"/>
          <w:szCs w:val="28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анализ крови на уровень содержания </w:t>
      </w:r>
      <w:proofErr w:type="spellStart"/>
      <w:r>
        <w:rPr>
          <w:rFonts w:cs="Times New Roman"/>
          <w:szCs w:val="28"/>
        </w:rPr>
        <w:lastRenderedPageBreak/>
        <w:t>простатспецифическогоантигена</w:t>
      </w:r>
      <w:proofErr w:type="spellEnd"/>
      <w:r>
        <w:rPr>
          <w:rFonts w:cs="Times New Roman"/>
          <w:szCs w:val="28"/>
        </w:rPr>
        <w:t xml:space="preserve">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>
        <w:rPr>
          <w:rFonts w:cs="Times New Roman"/>
          <w:szCs w:val="28"/>
        </w:rPr>
        <w:t>сердечно-сосудистый</w:t>
      </w:r>
      <w:proofErr w:type="spellEnd"/>
      <w:proofErr w:type="gramEnd"/>
      <w:r>
        <w:rPr>
          <w:rFonts w:cs="Times New Roman"/>
          <w:szCs w:val="28"/>
        </w:rPr>
        <w:t xml:space="preserve"> риск);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9" w:name="Par166"/>
      <w:bookmarkEnd w:id="9"/>
      <w:r>
        <w:rPr>
          <w:rFonts w:cs="Times New Roman"/>
          <w:szCs w:val="28"/>
        </w:rPr>
        <w:t xml:space="preserve">14. </w:t>
      </w:r>
      <w:proofErr w:type="gramStart"/>
      <w:r>
        <w:rPr>
          <w:rFonts w:cs="Times New Roman"/>
          <w:szCs w:val="28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cs="Times New Roman"/>
            <w:color w:val="0000FF"/>
            <w:szCs w:val="28"/>
          </w:rPr>
          <w:t>пунктам 13.1</w:t>
        </w:r>
      </w:hyperlink>
      <w:r>
        <w:rPr>
          <w:rFonts w:cs="Times New Roman"/>
          <w:szCs w:val="28"/>
        </w:rPr>
        <w:t xml:space="preserve"> и </w:t>
      </w:r>
      <w:hyperlink w:anchor="Par150" w:history="1">
        <w:r>
          <w:rPr>
            <w:rFonts w:cs="Times New Roman"/>
            <w:color w:val="0000FF"/>
            <w:szCs w:val="28"/>
          </w:rPr>
          <w:t>13.2</w:t>
        </w:r>
      </w:hyperlink>
      <w:r>
        <w:rPr>
          <w:rFonts w:cs="Times New Roman"/>
          <w:szCs w:val="28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cs="Times New Roman"/>
          <w:szCs w:val="28"/>
        </w:rPr>
        <w:t xml:space="preserve"> результатов обследования и состояния здоровья гражданина.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rPr>
          <w:rFonts w:cs="Times New Roman"/>
          <w:szCs w:val="28"/>
        </w:rPr>
        <w:t>помощи</w:t>
      </w:r>
      <w:proofErr w:type="gramEnd"/>
      <w:r>
        <w:rPr>
          <w:rFonts w:cs="Times New Roman"/>
          <w:szCs w:val="28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1" w:history="1">
        <w:r>
          <w:rPr>
            <w:rFonts w:cs="Times New Roman"/>
            <w:color w:val="0000FF"/>
            <w:szCs w:val="28"/>
          </w:rPr>
          <w:t>частью 2 статьи 37</w:t>
        </w:r>
      </w:hyperlink>
      <w:r>
        <w:rPr>
          <w:rFonts w:cs="Times New Roman"/>
          <w:szCs w:val="28"/>
        </w:rPr>
        <w:t xml:space="preserve"> Федерального закона от 21 </w:t>
      </w:r>
      <w:proofErr w:type="gramStart"/>
      <w:r>
        <w:rPr>
          <w:rFonts w:cs="Times New Roman"/>
          <w:szCs w:val="28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</w:t>
      </w:r>
      <w:r>
        <w:rPr>
          <w:rFonts w:cs="Times New Roman"/>
          <w:szCs w:val="28"/>
        </w:rPr>
        <w:lastRenderedPageBreak/>
        <w:t xml:space="preserve">помощи, разработанных и утвержденных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частью 2 статьи 76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Для определения по результатам </w:t>
      </w:r>
      <w:proofErr w:type="gramStart"/>
      <w:r>
        <w:rPr>
          <w:rFonts w:cs="Times New Roman"/>
          <w:szCs w:val="28"/>
        </w:rPr>
        <w:t>диспансеризации группы состояния здоровья гражданина</w:t>
      </w:r>
      <w:proofErr w:type="gramEnd"/>
      <w:r>
        <w:rPr>
          <w:rFonts w:cs="Times New Roman"/>
          <w:szCs w:val="28"/>
        </w:rPr>
        <w:t xml:space="preserve"> и планирования тактики его медицинского наблюдения используются следующие критерии: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spellStart"/>
      <w:proofErr w:type="gramStart"/>
      <w:r>
        <w:rPr>
          <w:rFonts w:cs="Times New Roman"/>
          <w:szCs w:val="28"/>
        </w:rPr>
        <w:t>сердечно-сосудистом</w:t>
      </w:r>
      <w:proofErr w:type="spellEnd"/>
      <w:proofErr w:type="gramEnd"/>
      <w:r>
        <w:rPr>
          <w:rFonts w:cs="Times New Roman"/>
          <w:szCs w:val="28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spellStart"/>
      <w:proofErr w:type="gramStart"/>
      <w:r>
        <w:rPr>
          <w:rFonts w:cs="Times New Roman"/>
          <w:szCs w:val="28"/>
        </w:rPr>
        <w:t>сердечно-сосудистом</w:t>
      </w:r>
      <w:proofErr w:type="spellEnd"/>
      <w:proofErr w:type="gramEnd"/>
      <w:r>
        <w:rPr>
          <w:rFonts w:cs="Times New Roman"/>
          <w:szCs w:val="28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cs="Times New Roman"/>
          <w:szCs w:val="28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П</w:t>
      </w:r>
      <w:proofErr w:type="gramEnd"/>
      <w:r>
        <w:rPr>
          <w:rFonts w:cs="Times New Roman"/>
          <w:szCs w:val="28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группу состояния здоровья.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б</w:t>
      </w:r>
      <w:proofErr w:type="spellEnd"/>
      <w:proofErr w:type="gramEnd"/>
      <w:r>
        <w:rPr>
          <w:rFonts w:cs="Times New Roman"/>
          <w:szCs w:val="28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 с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имеющим высокий и очень высокий суммарный (абсолютный или относительный) </w:t>
      </w:r>
      <w:proofErr w:type="spellStart"/>
      <w:r>
        <w:rPr>
          <w:rFonts w:cs="Times New Roman"/>
          <w:szCs w:val="28"/>
        </w:rPr>
        <w:t>сердечно-сосудистый</w:t>
      </w:r>
      <w:proofErr w:type="spellEnd"/>
      <w:r>
        <w:rPr>
          <w:rFonts w:cs="Times New Roman"/>
          <w:szCs w:val="28"/>
        </w:rPr>
        <w:t xml:space="preserve">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18. Основными критериями эффективности диспансеризации взрослого населения являются: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группой состояния здоровья, а также граждан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rFonts w:cs="Times New Roman"/>
          <w:szCs w:val="28"/>
        </w:rPr>
        <w:t>сердечно-сосудистый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группами состояния здоровья, а также граждан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rFonts w:cs="Times New Roman"/>
          <w:szCs w:val="28"/>
        </w:rPr>
        <w:t>сердечно-сосудистый</w:t>
      </w:r>
      <w:proofErr w:type="spellEnd"/>
      <w:r>
        <w:rPr>
          <w:rFonts w:cs="Times New Roman"/>
          <w:szCs w:val="28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proofErr w:type="gramStart"/>
      <w:r>
        <w:rPr>
          <w:rFonts w:cs="Times New Roman"/>
          <w:szCs w:val="28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proofErr w:type="gramStart"/>
      <w:r>
        <w:rPr>
          <w:rFonts w:cs="Times New Roman"/>
          <w:szCs w:val="28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467B27" w:rsidRPr="00684768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  <w:szCs w:val="28"/>
        </w:rPr>
      </w:pPr>
      <w:proofErr w:type="gramStart"/>
      <w:r>
        <w:rPr>
          <w:rFonts w:cs="Times New Roman"/>
          <w:szCs w:val="28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cs="Times New Roman"/>
          <w:szCs w:val="28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</w:t>
      </w:r>
      <w:r w:rsidRPr="00684768">
        <w:rPr>
          <w:rFonts w:cs="Times New Roman"/>
          <w:color w:val="FF0000"/>
          <w:szCs w:val="28"/>
        </w:rPr>
        <w:t>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выполнения в р</w:t>
      </w:r>
      <w:bookmarkStart w:id="10" w:name="_GoBack"/>
      <w:bookmarkEnd w:id="10"/>
      <w:r>
        <w:rPr>
          <w:rFonts w:cs="Times New Roman"/>
          <w:szCs w:val="28"/>
        </w:rPr>
        <w:t>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23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Министерства здравоохранения </w:t>
      </w:r>
      <w:r>
        <w:rPr>
          <w:rFonts w:cs="Times New Roman"/>
          <w:szCs w:val="28"/>
        </w:rPr>
        <w:lastRenderedPageBreak/>
        <w:t>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cs="Times New Roman"/>
            <w:color w:val="0000FF"/>
            <w:szCs w:val="28"/>
          </w:rPr>
          <w:t>пункте 13.2</w:t>
        </w:r>
      </w:hyperlink>
      <w:r>
        <w:rPr>
          <w:rFonts w:cs="Times New Roman"/>
          <w:szCs w:val="28"/>
        </w:rPr>
        <w:t xml:space="preserve"> настоящего Порядка, необходимость </w:t>
      </w:r>
      <w:proofErr w:type="gramStart"/>
      <w:r>
        <w:rPr>
          <w:rFonts w:cs="Times New Roman"/>
          <w:szCs w:val="28"/>
        </w:rPr>
        <w:t>проведения</w:t>
      </w:r>
      <w:proofErr w:type="gramEnd"/>
      <w:r>
        <w:rPr>
          <w:rFonts w:cs="Times New Roman"/>
          <w:szCs w:val="28"/>
        </w:rPr>
        <w:t xml:space="preserve"> которых определена по результатам первого и второго этапов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1" w:name="Par203"/>
      <w:bookmarkEnd w:id="11"/>
      <w:r>
        <w:rPr>
          <w:rFonts w:cs="Times New Roman"/>
          <w:szCs w:val="28"/>
        </w:rPr>
        <w:t>Приложение N 1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диспансеризации </w:t>
      </w:r>
      <w:proofErr w:type="gramStart"/>
      <w:r>
        <w:rPr>
          <w:rFonts w:cs="Times New Roman"/>
          <w:szCs w:val="28"/>
        </w:rPr>
        <w:t>определенных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населения,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утвержденному</w:t>
      </w:r>
      <w:proofErr w:type="gramEnd"/>
      <w:r>
        <w:rPr>
          <w:rFonts w:cs="Times New Roman"/>
          <w:szCs w:val="28"/>
        </w:rPr>
        <w:t xml:space="preserve"> приказом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здравоохранения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2" w:name="Par212"/>
      <w:bookmarkEnd w:id="12"/>
      <w:r>
        <w:rPr>
          <w:rFonts w:cs="Times New Roman"/>
          <w:szCs w:val="28"/>
        </w:rPr>
        <w:t>ОБЪЕМ ДИСПАНСЕРИЗАЦИИ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3" w:name="Par214"/>
      <w:bookmarkEnd w:id="13"/>
      <w:r>
        <w:rPr>
          <w:rFonts w:cs="Times New Roman"/>
          <w:szCs w:val="28"/>
        </w:rPr>
        <w:t>Перечень осмотров врачами-специалистами,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исследований и иных медицинских мероприятий, проводимых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диспансеризации в определенные возрастные периоды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7B27" w:rsidSect="00B95FF1"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467B27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Возраст (лет)</w:t>
            </w:r>
          </w:p>
        </w:tc>
      </w:tr>
      <w:tr w:rsidR="00467B27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2</w:t>
            </w:r>
            <w:r w:rsidR="00626203" w:rsidRPr="004F552B">
              <w:rPr>
                <w:rFonts w:cs="Times New Roman"/>
                <w:sz w:val="22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2</w:t>
            </w:r>
            <w:r w:rsidR="00626203" w:rsidRPr="004F552B">
              <w:rPr>
                <w:rFonts w:cs="Times New Roman"/>
                <w:sz w:val="22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2</w:t>
            </w:r>
            <w:r w:rsidR="00626203" w:rsidRPr="004F552B">
              <w:rPr>
                <w:rFonts w:cs="Times New Roman"/>
                <w:sz w:val="22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3</w:t>
            </w:r>
            <w:r w:rsidR="00626203" w:rsidRPr="004F552B">
              <w:rPr>
                <w:rFonts w:cs="Times New Roman"/>
                <w:sz w:val="22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33</w:t>
            </w:r>
            <w:r w:rsidR="00626203" w:rsidRPr="004F552B">
              <w:rPr>
                <w:rFonts w:cs="Times New Roman"/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3</w:t>
            </w:r>
            <w:r w:rsidR="00626203" w:rsidRPr="004F552B">
              <w:rPr>
                <w:rFonts w:cs="Times New Roman"/>
                <w:sz w:val="22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3</w:t>
            </w:r>
            <w:r w:rsidR="00626203" w:rsidRPr="004F552B">
              <w:rPr>
                <w:rFonts w:cs="Times New Roman"/>
                <w:sz w:val="22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4</w:t>
            </w:r>
            <w:r w:rsidR="00626203" w:rsidRPr="004F552B">
              <w:rPr>
                <w:rFonts w:cs="Times New Roman"/>
                <w:sz w:val="22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4</w:t>
            </w:r>
            <w:r w:rsidR="00626203" w:rsidRPr="004F552B">
              <w:rPr>
                <w:rFonts w:cs="Times New Roman"/>
                <w:sz w:val="22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4</w:t>
            </w:r>
            <w:r w:rsidR="00626203" w:rsidRPr="004F552B">
              <w:rPr>
                <w:rFonts w:cs="Times New Roman"/>
                <w:sz w:val="22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5</w:t>
            </w:r>
            <w:r w:rsidR="00626203" w:rsidRPr="004F552B">
              <w:rPr>
                <w:rFonts w:cs="Times New Roman"/>
                <w:sz w:val="22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5</w:t>
            </w:r>
            <w:r w:rsidR="00626203" w:rsidRPr="004F552B">
              <w:rPr>
                <w:rFonts w:cs="Times New Roman"/>
                <w:sz w:val="22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5</w:t>
            </w:r>
            <w:r w:rsidR="00626203" w:rsidRPr="004F552B">
              <w:rPr>
                <w:rFonts w:cs="Times New Roman"/>
                <w:sz w:val="22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6</w:t>
            </w:r>
            <w:r w:rsidR="00626203" w:rsidRPr="004F552B">
              <w:rPr>
                <w:rFonts w:cs="Times New Roman"/>
                <w:sz w:val="22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6</w:t>
            </w:r>
            <w:r w:rsidR="00626203" w:rsidRPr="004F552B">
              <w:rPr>
                <w:rFonts w:cs="Times New Roman"/>
                <w:sz w:val="22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4F552B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F552B">
              <w:rPr>
                <w:rFonts w:cs="Times New Roman"/>
                <w:sz w:val="22"/>
              </w:rPr>
              <w:t>66</w:t>
            </w:r>
            <w:r w:rsidR="00626203" w:rsidRPr="004F552B">
              <w:rPr>
                <w:rFonts w:cs="Times New Roman"/>
                <w:sz w:val="2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6</w:t>
            </w:r>
            <w:r w:rsidR="00626203" w:rsidRPr="00626203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7</w:t>
            </w:r>
            <w:r w:rsidR="00626203" w:rsidRPr="00626203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7</w:t>
            </w:r>
            <w:r w:rsidR="00626203" w:rsidRPr="00626203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7</w:t>
            </w:r>
            <w:r w:rsidR="00626203" w:rsidRPr="00626203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8</w:t>
            </w:r>
            <w:r w:rsidR="00626203" w:rsidRPr="00626203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8</w:t>
            </w:r>
            <w:r w:rsidR="00626203" w:rsidRPr="00626203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8</w:t>
            </w:r>
            <w:r w:rsidR="00626203" w:rsidRPr="00626203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9</w:t>
            </w:r>
            <w:r w:rsidR="00626203" w:rsidRPr="0062620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9</w:t>
            </w:r>
            <w:r w:rsidR="00626203" w:rsidRPr="00626203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9</w:t>
            </w:r>
            <w:r w:rsidR="00626203" w:rsidRPr="00626203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99</w:t>
            </w:r>
            <w:r w:rsidR="00626203" w:rsidRPr="0062620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67B27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bookmarkStart w:id="14" w:name="Par247"/>
            <w:bookmarkEnd w:id="14"/>
            <w:r w:rsidRPr="00626203">
              <w:rPr>
                <w:rFonts w:cs="Times New Roman"/>
                <w:sz w:val="24"/>
                <w:szCs w:val="24"/>
              </w:rPr>
              <w:t>Первый этап диспансеризации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 w:rsidP="006262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 w:rsidP="006262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262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90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90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90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90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90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2. Антропометрия (измерение </w:t>
            </w:r>
            <w:proofErr w:type="gramStart"/>
            <w:r w:rsidRPr="00626203">
              <w:rPr>
                <w:rFonts w:cs="Times New Roman"/>
                <w:sz w:val="24"/>
                <w:szCs w:val="24"/>
              </w:rPr>
              <w:t>роста</w:t>
            </w:r>
            <w:proofErr w:type="gramEnd"/>
            <w:r w:rsidRPr="00626203">
              <w:rPr>
                <w:rFonts w:cs="Times New Roman"/>
                <w:sz w:val="24"/>
                <w:szCs w:val="24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8759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5. Определение уровня глюкозы в крови </w:t>
            </w:r>
            <w:proofErr w:type="spellStart"/>
            <w:proofErr w:type="gramStart"/>
            <w:r w:rsidRPr="00626203">
              <w:rPr>
                <w:rFonts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626203">
              <w:rPr>
                <w:rFonts w:cs="Times New Roman"/>
                <w:sz w:val="24"/>
                <w:szCs w:val="24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010C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F8B" w:rsidRPr="00626203" w:rsidRDefault="00364F8B" w:rsidP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010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 w:rsidP="00364F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/+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</w:tr>
      <w:tr w:rsidR="00467B27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6. Определение</w:t>
            </w:r>
            <w:r w:rsidR="00E246A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относительного суммарного </w:t>
            </w:r>
            <w:proofErr w:type="spellStart"/>
            <w:proofErr w:type="gramStart"/>
            <w:r w:rsidRPr="00626203">
              <w:rPr>
                <w:rFonts w:cs="Times New Roman"/>
                <w:sz w:val="24"/>
                <w:szCs w:val="24"/>
              </w:rPr>
              <w:t>сердечно-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>сосудистого</w:t>
            </w:r>
            <w:proofErr w:type="spellEnd"/>
            <w:proofErr w:type="gramEnd"/>
            <w:r w:rsidRPr="00626203">
              <w:rPr>
                <w:rFonts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абсолютного суммарного </w:t>
            </w:r>
            <w:proofErr w:type="spellStart"/>
            <w:proofErr w:type="gramStart"/>
            <w:r w:rsidRPr="00626203">
              <w:rPr>
                <w:rFonts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626203">
              <w:rPr>
                <w:rFonts w:cs="Times New Roman"/>
                <w:sz w:val="24"/>
                <w:szCs w:val="24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</w:tr>
      <w:tr w:rsidR="00467B27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7. Электрокардиография (в покое) </w:t>
            </w:r>
            <w:hyperlink w:anchor="Par1263" w:history="1">
              <w:r w:rsidRPr="00626203">
                <w:rPr>
                  <w:rFonts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9. Флюорография легких</w:t>
            </w:r>
            <w:r w:rsidR="00E246A9">
              <w:rPr>
                <w:rFonts w:cs="Times New Roman"/>
                <w:sz w:val="24"/>
                <w:szCs w:val="24"/>
              </w:rPr>
              <w:t xml:space="preserve"> 1 раз в 2 года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 w:rsidP="001A7D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 w:rsidP="001A7D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10. Маммография обеих молочных желез (для женщин)</w:t>
            </w:r>
            <w:r w:rsidR="00E246A9">
              <w:rPr>
                <w:rFonts w:cs="Times New Roman"/>
                <w:sz w:val="24"/>
                <w:szCs w:val="24"/>
              </w:rPr>
              <w:t>1 раз в 2 года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1A7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=+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E246A9" w:rsidRDefault="00E24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++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креатинина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, общего билирубина,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аспартат-аминотрансаминазы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аланин-аминотрансаминазы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>, глюкозы, холестерина)</w:t>
            </w:r>
            <w:r w:rsidR="00E246A9">
              <w:rPr>
                <w:rFonts w:cs="Times New Roman"/>
                <w:sz w:val="24"/>
                <w:szCs w:val="24"/>
              </w:rPr>
              <w:t>-1 раз в 6 лет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E855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630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бензидиновой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16. Ультразвуковое исследование (УЗИ) на 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 w:rsidRPr="00626203"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E246A9">
              <w:t>1 раз в 6 лет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Для женщин УЗИ поджелудочной железы, почек, 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>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364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 w:rsidRPr="00626203"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  <w:proofErr w:type="gramStart"/>
            <w:r w:rsidR="00E246A9">
              <w:t>курящим</w:t>
            </w:r>
            <w:proofErr w:type="gramEnd"/>
            <w:r w:rsidR="00E246A9">
              <w:t xml:space="preserve"> в 69 и 75 лет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+ </w:t>
            </w:r>
            <w:hyperlink w:anchor="Par1264" w:history="1">
              <w:r w:rsidRPr="00626203"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+ </w:t>
            </w:r>
            <w:hyperlink w:anchor="Par1264" w:history="1">
              <w:r w:rsidRPr="00626203"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CC18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467B27"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CC180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bookmarkStart w:id="15" w:name="Par839"/>
            <w:bookmarkEnd w:id="15"/>
            <w:r>
              <w:rPr>
                <w:rFonts w:cs="Times New Roman"/>
                <w:sz w:val="24"/>
                <w:szCs w:val="24"/>
              </w:rPr>
              <w:t>+</w:t>
            </w:r>
            <w:r w:rsidR="00467B27" w:rsidRPr="00626203">
              <w:rPr>
                <w:rFonts w:cs="Times New Roman"/>
                <w:sz w:val="24"/>
                <w:szCs w:val="24"/>
              </w:rPr>
              <w:t>Второй этап диспансеризации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626203">
              <w:rPr>
                <w:rFonts w:cs="Times New Roman"/>
                <w:sz w:val="24"/>
                <w:szCs w:val="24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дислипидемия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3. </w:t>
            </w:r>
            <w:proofErr w:type="gramStart"/>
            <w:r w:rsidRPr="00626203">
              <w:rPr>
                <w:rFonts w:cs="Times New Roman"/>
                <w:sz w:val="24"/>
                <w:szCs w:val="24"/>
              </w:rPr>
              <w:t xml:space="preserve">Осмотр (консультация) врачом-неврологом (в случае 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>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5. </w:t>
            </w:r>
            <w:proofErr w:type="gramStart"/>
            <w:r w:rsidRPr="00626203">
              <w:rPr>
                <w:rFonts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врачом-колопроктологом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(для граждан при положительном анализе кала на 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полипозу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, онкологическим заболеваниям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колоректальной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колоректальной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Колоноскопия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или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ректороманоскопия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(в случае подозрения на онкологическое заболевание толстой кишки по назначению врача-хирурга или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врача-колопроктолога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триглицеридов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>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8. Спирометрия (для граждан с подозрением на хроническое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lastRenderedPageBreak/>
              <w:t>бронхо-легочное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10. Определение концентрации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гликированного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11. Осмотр (консультация)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врачом-оториноларингологом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12. Анализ крови на уровень содержания </w:t>
            </w:r>
            <w:proofErr w:type="spellStart"/>
            <w:r w:rsidRPr="00626203">
              <w:rPr>
                <w:rFonts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626203">
              <w:rPr>
                <w:rFonts w:cs="Times New Roman"/>
                <w:sz w:val="24"/>
                <w:szCs w:val="24"/>
              </w:rPr>
              <w:t xml:space="preserve"> антигена (по назначению врача-хирурга или врача-уролога мужчинам с подозрением на онкологическое заболевание </w:t>
            </w:r>
            <w:r w:rsidRPr="00626203">
              <w:rPr>
                <w:rFonts w:cs="Times New Roman"/>
                <w:sz w:val="24"/>
                <w:szCs w:val="24"/>
              </w:rPr>
              <w:lastRenderedPageBreak/>
              <w:t>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spellStart"/>
            <w:proofErr w:type="gramStart"/>
            <w:r w:rsidRPr="00626203">
              <w:rPr>
                <w:rFonts w:cs="Times New Roman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626203">
              <w:rPr>
                <w:rFonts w:cs="Times New Roman"/>
                <w:sz w:val="24"/>
                <w:szCs w:val="24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467B27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lastRenderedPageBreak/>
              <w:t xml:space="preserve">15. </w:t>
            </w:r>
            <w:proofErr w:type="gramStart"/>
            <w:r w:rsidRPr="00626203">
              <w:rPr>
                <w:rFonts w:cs="Times New Roman"/>
                <w:sz w:val="24"/>
                <w:szCs w:val="24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Pr="00626203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2620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B27" w:rsidRDefault="00467B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</w:tbl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467B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6" w:name="Par1263"/>
      <w:bookmarkEnd w:id="16"/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мужчин в возрасте до 35 лет и для женщин в возрасте до 45 лет при первичном прохождении диспансеризации.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7" w:name="Par1264"/>
      <w:bookmarkEnd w:id="17"/>
      <w:r>
        <w:rPr>
          <w:rFonts w:cs="Times New Roman"/>
          <w:szCs w:val="28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8" w:name="Par1270"/>
      <w:bookmarkEnd w:id="18"/>
      <w:r>
        <w:rPr>
          <w:rFonts w:cs="Times New Roman"/>
          <w:szCs w:val="28"/>
        </w:rPr>
        <w:t>Приложение N 2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диспансеризации </w:t>
      </w:r>
      <w:proofErr w:type="gramStart"/>
      <w:r>
        <w:rPr>
          <w:rFonts w:cs="Times New Roman"/>
          <w:szCs w:val="28"/>
        </w:rPr>
        <w:t>определенных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населения,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утвержденному</w:t>
      </w:r>
      <w:proofErr w:type="gramEnd"/>
      <w:r>
        <w:rPr>
          <w:rFonts w:cs="Times New Roman"/>
          <w:szCs w:val="28"/>
        </w:rPr>
        <w:t xml:space="preserve"> приказом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здравоохранения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67B27" w:rsidRDefault="00467B2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9" w:name="Par1279"/>
      <w:bookmarkEnd w:id="19"/>
      <w:r>
        <w:rPr>
          <w:rFonts w:cs="Times New Roman"/>
          <w:szCs w:val="28"/>
        </w:rPr>
        <w:t>ДИАГНОСТИЧЕСКИЕ КРИТЕРИИ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ФАКТОРОВ РИСКА И ДРУГИХ ПАТОЛОГИЧЕСКИХ СОСТОЯНИЙ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ЗАБОЛЕВАНИЙ, ПОВЫШАЮЩИХ ВЕРОЯТНОСТЬ РАЗВИТИЯ</w:t>
      </w:r>
    </w:p>
    <w:p w:rsidR="00467B27" w:rsidRDefault="00467B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ХРОНИЧЕСКИХ НЕИНФЕКЦИОННЫХ ЗАБОЛЕВАНИЙ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rPr>
          <w:rFonts w:cs="Times New Roman"/>
          <w:szCs w:val="28"/>
        </w:rPr>
        <w:t>рт</w:t>
      </w:r>
      <w:proofErr w:type="spellEnd"/>
      <w:r>
        <w:rPr>
          <w:rFonts w:cs="Times New Roman"/>
          <w:szCs w:val="28"/>
        </w:rPr>
        <w:t xml:space="preserve">. ст., </w:t>
      </w:r>
      <w:proofErr w:type="spellStart"/>
      <w:r>
        <w:rPr>
          <w:rFonts w:cs="Times New Roman"/>
          <w:szCs w:val="28"/>
        </w:rPr>
        <w:t>диастолическое</w:t>
      </w:r>
      <w:proofErr w:type="spellEnd"/>
      <w:r>
        <w:rPr>
          <w:rFonts w:cs="Times New Roman"/>
          <w:szCs w:val="28"/>
        </w:rPr>
        <w:t xml:space="preserve"> артериальное давление равно или выше 90 мм </w:t>
      </w:r>
      <w:proofErr w:type="spellStart"/>
      <w:r>
        <w:rPr>
          <w:rFonts w:cs="Times New Roman"/>
          <w:szCs w:val="28"/>
        </w:rPr>
        <w:t>рт</w:t>
      </w:r>
      <w:proofErr w:type="spellEnd"/>
      <w:r>
        <w:rPr>
          <w:rFonts w:cs="Times New Roman"/>
          <w:szCs w:val="28"/>
        </w:rPr>
        <w:t xml:space="preserve">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5" w:history="1">
        <w:r>
          <w:rPr>
            <w:rFonts w:cs="Times New Roman"/>
            <w:color w:val="0000FF"/>
            <w:szCs w:val="28"/>
          </w:rPr>
          <w:t>I10</w:t>
        </w:r>
      </w:hyperlink>
      <w:r>
        <w:rPr>
          <w:rFonts w:cs="Times New Roman"/>
          <w:szCs w:val="28"/>
        </w:rPr>
        <w:t xml:space="preserve"> - </w:t>
      </w:r>
      <w:hyperlink r:id="rId26" w:history="1">
        <w:r>
          <w:rPr>
            <w:rFonts w:cs="Times New Roman"/>
            <w:color w:val="0000FF"/>
            <w:szCs w:val="28"/>
          </w:rPr>
          <w:t>I15</w:t>
        </w:r>
      </w:hyperlink>
      <w:r>
        <w:rPr>
          <w:rFonts w:cs="Times New Roman"/>
          <w:szCs w:val="28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7" w:history="1">
        <w:r>
          <w:rPr>
            <w:rFonts w:cs="Times New Roman"/>
            <w:color w:val="0000FF"/>
            <w:szCs w:val="28"/>
          </w:rPr>
          <w:t>R03.0</w:t>
        </w:r>
      </w:hyperlink>
      <w:r>
        <w:rPr>
          <w:rFonts w:cs="Times New Roman"/>
          <w:szCs w:val="28"/>
        </w:rPr>
        <w:t>)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Международная статистическая </w:t>
      </w:r>
      <w:hyperlink r:id="rId28" w:history="1">
        <w:r>
          <w:rPr>
            <w:rFonts w:cs="Times New Roman"/>
            <w:color w:val="0000FF"/>
            <w:szCs w:val="28"/>
          </w:rPr>
          <w:t>классификация</w:t>
        </w:r>
      </w:hyperlink>
      <w:r>
        <w:rPr>
          <w:rFonts w:cs="Times New Roman"/>
          <w:szCs w:val="28"/>
        </w:rPr>
        <w:t xml:space="preserve"> болезней и проблем, связанных со здоровьем, 10 пересмотра.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/л, у женщин менее 1,2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/л; холестерин липопротеидов низкой плотности более 3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/л; </w:t>
      </w:r>
      <w:proofErr w:type="spellStart"/>
      <w:r>
        <w:rPr>
          <w:rFonts w:cs="Times New Roman"/>
          <w:szCs w:val="28"/>
        </w:rPr>
        <w:t>триглицериды</w:t>
      </w:r>
      <w:proofErr w:type="spellEnd"/>
      <w:r>
        <w:rPr>
          <w:rFonts w:cs="Times New Roman"/>
          <w:szCs w:val="28"/>
        </w:rPr>
        <w:t xml:space="preserve"> более 1,7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/л) (кодируется по МКБ-10 кодом </w:t>
      </w:r>
      <w:hyperlink r:id="rId29" w:history="1">
        <w:r>
          <w:rPr>
            <w:rFonts w:cs="Times New Roman"/>
            <w:color w:val="0000FF"/>
            <w:szCs w:val="28"/>
          </w:rPr>
          <w:t>E78</w:t>
        </w:r>
      </w:hyperlink>
      <w:r>
        <w:rPr>
          <w:rFonts w:cs="Times New Roman"/>
          <w:szCs w:val="28"/>
        </w:rPr>
        <w:t>).</w:t>
      </w:r>
      <w:proofErr w:type="gramEnd"/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Гипергликемия - уровень глюкозы плазмы натощак 6,1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 и более (кодируется по МКБ-10 кодом </w:t>
      </w:r>
      <w:hyperlink r:id="rId30" w:history="1">
        <w:r>
          <w:rPr>
            <w:rFonts w:cs="Times New Roman"/>
            <w:color w:val="0000FF"/>
            <w:szCs w:val="28"/>
          </w:rPr>
          <w:t>R73.9</w:t>
        </w:r>
      </w:hyperlink>
      <w:r>
        <w:rPr>
          <w:rFonts w:cs="Times New Roman"/>
          <w:szCs w:val="28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cs="Times New Roman"/>
          <w:szCs w:val="28"/>
        </w:rPr>
        <w:t>нормогликемия</w:t>
      </w:r>
      <w:proofErr w:type="spellEnd"/>
      <w:r>
        <w:rPr>
          <w:rFonts w:cs="Times New Roman"/>
          <w:szCs w:val="28"/>
        </w:rPr>
        <w:t>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Курение табака - ежедневное </w:t>
      </w:r>
      <w:proofErr w:type="gramStart"/>
      <w:r>
        <w:rPr>
          <w:rFonts w:cs="Times New Roman"/>
          <w:szCs w:val="28"/>
        </w:rPr>
        <w:t>выкуривание</w:t>
      </w:r>
      <w:proofErr w:type="gramEnd"/>
      <w:r>
        <w:rPr>
          <w:rFonts w:cs="Times New Roman"/>
          <w:szCs w:val="28"/>
        </w:rPr>
        <w:t xml:space="preserve"> по крайней мере одной сигареты и более (кодируется по МКБ-10 кодом </w:t>
      </w:r>
      <w:hyperlink r:id="rId31" w:history="1">
        <w:r>
          <w:rPr>
            <w:rFonts w:cs="Times New Roman"/>
            <w:color w:val="0000FF"/>
            <w:szCs w:val="28"/>
          </w:rPr>
          <w:t>Z72.0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cs="Times New Roman"/>
          <w:szCs w:val="28"/>
        </w:rPr>
        <w:t>досаливание</w:t>
      </w:r>
      <w:proofErr w:type="spellEnd"/>
      <w:r>
        <w:rPr>
          <w:rFonts w:cs="Times New Roman"/>
          <w:szCs w:val="28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2" w:history="1">
        <w:r>
          <w:rPr>
            <w:rFonts w:cs="Times New Roman"/>
            <w:color w:val="0000FF"/>
            <w:szCs w:val="28"/>
          </w:rPr>
          <w:t>Z72.4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Избыточная масса тела - индекс массы тела 25 - 29,9 кг/м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 и более (кодируется по МКБ-10 кодом </w:t>
      </w:r>
      <w:hyperlink r:id="rId33" w:history="1">
        <w:r>
          <w:rPr>
            <w:rFonts w:cs="Times New Roman"/>
            <w:color w:val="0000FF"/>
            <w:szCs w:val="28"/>
          </w:rPr>
          <w:t>R63.5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Ожирение - индекс массы тела 30 кг/м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 и более (кодируется по МКБ-10 </w:t>
      </w:r>
      <w:hyperlink r:id="rId34" w:history="1">
        <w:r>
          <w:rPr>
            <w:rFonts w:cs="Times New Roman"/>
            <w:color w:val="0000FF"/>
            <w:szCs w:val="28"/>
          </w:rPr>
          <w:t>кодом E66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5" w:history="1">
        <w:r>
          <w:rPr>
            <w:rFonts w:cs="Times New Roman"/>
            <w:color w:val="0000FF"/>
            <w:szCs w:val="28"/>
          </w:rPr>
          <w:t>Z72.3)</w:t>
        </w:r>
      </w:hyperlink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Риск пагубного потребления алкоголя (кодируется по МКБ-10 кодом </w:t>
      </w:r>
      <w:hyperlink r:id="rId36" w:history="1">
        <w:r>
          <w:rPr>
            <w:rFonts w:cs="Times New Roman"/>
            <w:color w:val="0000FF"/>
            <w:szCs w:val="28"/>
          </w:rPr>
          <w:t>Z72.1</w:t>
        </w:r>
      </w:hyperlink>
      <w:r>
        <w:rPr>
          <w:rFonts w:cs="Times New Roman"/>
          <w:szCs w:val="28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7" w:history="1">
        <w:r>
          <w:rPr>
            <w:rFonts w:cs="Times New Roman"/>
            <w:color w:val="0000FF"/>
            <w:szCs w:val="28"/>
          </w:rPr>
          <w:t>Z72.2</w:t>
        </w:r>
      </w:hyperlink>
      <w:r>
        <w:rPr>
          <w:rFonts w:cs="Times New Roman"/>
          <w:szCs w:val="28"/>
        </w:rPr>
        <w:t>) определяются с помощью опроса (анкетирования), предусмотренного настоящим Порядком.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</w:t>
      </w:r>
      <w:proofErr w:type="spellStart"/>
      <w:proofErr w:type="gramStart"/>
      <w:r>
        <w:rPr>
          <w:rFonts w:cs="Times New Roman"/>
          <w:szCs w:val="28"/>
        </w:rPr>
        <w:t>сердечно-сосудистым</w:t>
      </w:r>
      <w:proofErr w:type="spellEnd"/>
      <w:proofErr w:type="gramEnd"/>
      <w:r>
        <w:rPr>
          <w:rFonts w:cs="Times New Roman"/>
          <w:szCs w:val="28"/>
        </w:rPr>
        <w:t xml:space="preserve"> заболеваниям определяется при наличии инфаркта миокарда (кодируется по МКБ-10 кодом </w:t>
      </w:r>
      <w:hyperlink r:id="rId38" w:history="1">
        <w:r>
          <w:rPr>
            <w:rFonts w:cs="Times New Roman"/>
            <w:color w:val="0000FF"/>
            <w:szCs w:val="28"/>
          </w:rPr>
          <w:t>Z82.4</w:t>
        </w:r>
      </w:hyperlink>
      <w:r>
        <w:rPr>
          <w:rFonts w:cs="Times New Roman"/>
          <w:szCs w:val="28"/>
        </w:rPr>
        <w:t xml:space="preserve">) и (или) мозгового инсульта (кодируется по МКБ-10 кодом </w:t>
      </w:r>
      <w:hyperlink r:id="rId39" w:history="1">
        <w:r>
          <w:rPr>
            <w:rFonts w:cs="Times New Roman"/>
            <w:color w:val="0000FF"/>
            <w:szCs w:val="28"/>
          </w:rPr>
          <w:t>Z82.3</w:t>
        </w:r>
      </w:hyperlink>
      <w:r>
        <w:rPr>
          <w:rFonts w:cs="Times New Roman"/>
          <w:szCs w:val="28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0" w:history="1">
        <w:r>
          <w:rPr>
            <w:rFonts w:cs="Times New Roman"/>
            <w:color w:val="0000FF"/>
            <w:szCs w:val="28"/>
          </w:rPr>
          <w:t>Z80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1" w:history="1">
        <w:r>
          <w:rPr>
            <w:rFonts w:cs="Times New Roman"/>
            <w:color w:val="0000FF"/>
            <w:szCs w:val="28"/>
          </w:rPr>
          <w:t>Z82.5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2" w:history="1">
        <w:r>
          <w:rPr>
            <w:rFonts w:cs="Times New Roman"/>
            <w:color w:val="0000FF"/>
            <w:szCs w:val="28"/>
          </w:rPr>
          <w:t>Z83.3</w:t>
        </w:r>
      </w:hyperlink>
      <w:r>
        <w:rPr>
          <w:rFonts w:cs="Times New Roman"/>
          <w:szCs w:val="28"/>
        </w:rPr>
        <w:t>).</w:t>
      </w:r>
    </w:p>
    <w:p w:rsidR="00467B27" w:rsidRDefault="00467B2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Суммарный относительный </w:t>
      </w:r>
      <w:proofErr w:type="spellStart"/>
      <w:proofErr w:type="gramStart"/>
      <w:r>
        <w:rPr>
          <w:rFonts w:cs="Times New Roman"/>
          <w:szCs w:val="28"/>
        </w:rPr>
        <w:t>сердечно-сосудистый</w:t>
      </w:r>
      <w:proofErr w:type="spellEnd"/>
      <w:proofErr w:type="gramEnd"/>
      <w:r>
        <w:rPr>
          <w:rFonts w:cs="Times New Roman"/>
          <w:szCs w:val="28"/>
        </w:rPr>
        <w:t xml:space="preserve"> риск устанавливается у граждан в возрасте от 21 до 39 лет, суммарный абсолютный </w:t>
      </w:r>
      <w:proofErr w:type="spellStart"/>
      <w:r>
        <w:rPr>
          <w:rFonts w:cs="Times New Roman"/>
          <w:szCs w:val="28"/>
        </w:rPr>
        <w:t>сердечно-сосудистый</w:t>
      </w:r>
      <w:proofErr w:type="spellEnd"/>
      <w:r>
        <w:rPr>
          <w:rFonts w:cs="Times New Roman"/>
          <w:szCs w:val="28"/>
        </w:rPr>
        <w:t xml:space="preserve">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rPr>
          <w:rFonts w:cs="Times New Roman"/>
          <w:szCs w:val="28"/>
        </w:rPr>
        <w:lastRenderedPageBreak/>
        <w:t>сердечно-сосудистые</w:t>
      </w:r>
      <w:proofErr w:type="spellEnd"/>
      <w:proofErr w:type="gramEnd"/>
      <w:r>
        <w:rPr>
          <w:rFonts w:cs="Times New Roman"/>
          <w:szCs w:val="28"/>
        </w:rPr>
        <w:t xml:space="preserve"> заболевания, сахарный диабет второго типа и хроническое заболевание почек, уровень суммарного абсолютного </w:t>
      </w:r>
      <w:proofErr w:type="spellStart"/>
      <w:r>
        <w:rPr>
          <w:rFonts w:cs="Times New Roman"/>
          <w:szCs w:val="28"/>
        </w:rPr>
        <w:t>сердечно-сосудистого</w:t>
      </w:r>
      <w:proofErr w:type="spellEnd"/>
      <w:r>
        <w:rPr>
          <w:rFonts w:cs="Times New Roman"/>
          <w:szCs w:val="28"/>
        </w:rPr>
        <w:t xml:space="preserve">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spellStart"/>
      <w:proofErr w:type="gramStart"/>
      <w:r>
        <w:rPr>
          <w:rFonts w:cs="Times New Roman"/>
          <w:szCs w:val="28"/>
        </w:rPr>
        <w:t>сердечно-сосудистого</w:t>
      </w:r>
      <w:proofErr w:type="spellEnd"/>
      <w:proofErr w:type="gramEnd"/>
      <w:r>
        <w:rPr>
          <w:rFonts w:cs="Times New Roman"/>
          <w:szCs w:val="28"/>
        </w:rPr>
        <w:t xml:space="preserve"> риска.</w:t>
      </w: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67B27" w:rsidRDefault="00467B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0179D9" w:rsidRDefault="000179D9"/>
    <w:sectPr w:rsidR="000179D9" w:rsidSect="005748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72" w:rsidRDefault="00E30672" w:rsidP="00B95FF1">
      <w:r>
        <w:separator/>
      </w:r>
    </w:p>
  </w:endnote>
  <w:endnote w:type="continuationSeparator" w:id="1">
    <w:p w:rsidR="00E30672" w:rsidRDefault="00E30672" w:rsidP="00B9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72" w:rsidRDefault="00E30672" w:rsidP="00B95FF1">
      <w:r>
        <w:separator/>
      </w:r>
    </w:p>
  </w:footnote>
  <w:footnote w:type="continuationSeparator" w:id="1">
    <w:p w:rsidR="00E30672" w:rsidRDefault="00E30672" w:rsidP="00B95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154102"/>
      <w:docPartObj>
        <w:docPartGallery w:val="Page Numbers (Top of Page)"/>
        <w:docPartUnique/>
      </w:docPartObj>
    </w:sdtPr>
    <w:sdtContent>
      <w:p w:rsidR="00E85565" w:rsidRDefault="00880D0F">
        <w:pPr>
          <w:pStyle w:val="a3"/>
          <w:jc w:val="center"/>
        </w:pPr>
        <w:fldSimple w:instr="PAGE   \* MERGEFORMAT">
          <w:r w:rsidR="009A03F4">
            <w:rPr>
              <w:noProof/>
            </w:rPr>
            <w:t>21</w:t>
          </w:r>
        </w:fldSimple>
      </w:p>
    </w:sdtContent>
  </w:sdt>
  <w:p w:rsidR="00E85565" w:rsidRDefault="00E855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B27"/>
    <w:rsid w:val="00010C07"/>
    <w:rsid w:val="000179D9"/>
    <w:rsid w:val="000A62B5"/>
    <w:rsid w:val="001A7D16"/>
    <w:rsid w:val="002A6A9F"/>
    <w:rsid w:val="003646D4"/>
    <w:rsid w:val="00364F8B"/>
    <w:rsid w:val="003967E7"/>
    <w:rsid w:val="00467B27"/>
    <w:rsid w:val="004F552B"/>
    <w:rsid w:val="005424B1"/>
    <w:rsid w:val="0057488C"/>
    <w:rsid w:val="005F64CB"/>
    <w:rsid w:val="00626203"/>
    <w:rsid w:val="00630E85"/>
    <w:rsid w:val="00684768"/>
    <w:rsid w:val="006D0594"/>
    <w:rsid w:val="0073231C"/>
    <w:rsid w:val="007D2DB7"/>
    <w:rsid w:val="0087590A"/>
    <w:rsid w:val="00880D0F"/>
    <w:rsid w:val="008C2FEB"/>
    <w:rsid w:val="00983DD6"/>
    <w:rsid w:val="009A03F4"/>
    <w:rsid w:val="009F0452"/>
    <w:rsid w:val="00A71411"/>
    <w:rsid w:val="00B95FF1"/>
    <w:rsid w:val="00CC1803"/>
    <w:rsid w:val="00E246A9"/>
    <w:rsid w:val="00E30672"/>
    <w:rsid w:val="00E77BA5"/>
    <w:rsid w:val="00E85565"/>
    <w:rsid w:val="00E903C3"/>
    <w:rsid w:val="00F9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FF1"/>
  </w:style>
  <w:style w:type="paragraph" w:styleId="a5">
    <w:name w:val="footer"/>
    <w:basedOn w:val="a"/>
    <w:link w:val="a6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FF1"/>
  </w:style>
  <w:style w:type="paragraph" w:styleId="a7">
    <w:name w:val="List Paragraph"/>
    <w:basedOn w:val="a"/>
    <w:uiPriority w:val="34"/>
    <w:qFormat/>
    <w:rsid w:val="0001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467B2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FF1"/>
  </w:style>
  <w:style w:type="paragraph" w:styleId="a5">
    <w:name w:val="footer"/>
    <w:basedOn w:val="a"/>
    <w:link w:val="a6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C2EAEA817B87482AE1CB80B3005A2CF650A78156BEA5B88D9E0A94AWC64K" TargetMode="External"/><Relationship Id="rId13" Type="http://schemas.openxmlformats.org/officeDocument/2006/relationships/hyperlink" Target="consultantplus://offline/ref=438C2EAEA817B87482AE1CB80B3005A2CF660C7B176BEA5B88D9E0A94AC43F20628DE8A90556457FW96EK" TargetMode="External"/><Relationship Id="rId18" Type="http://schemas.openxmlformats.org/officeDocument/2006/relationships/hyperlink" Target="consultantplus://offline/ref=438C2EAEA817B87482AE1CB80B3005A2CF66087D106CEA5B88D9E0A94AC43F20628DE8A90557417BW960K" TargetMode="External"/><Relationship Id="rId26" Type="http://schemas.openxmlformats.org/officeDocument/2006/relationships/hyperlink" Target="consultantplus://offline/ref=438C2EAEA817B87482AE1DBC183005A2CF68077F1B3CBD59D98CEEAC429477302CC8E5AF045EW461K" TargetMode="External"/><Relationship Id="rId39" Type="http://schemas.openxmlformats.org/officeDocument/2006/relationships/hyperlink" Target="consultantplus://offline/ref=438C2EAEA817B87482AE1DBC183005A2CF68077F1B3CBD59D98CEEAC429477302CC8E0AE0455W46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C2EAEA817B87482AE1CB80B3005A2CF66087D106CEA5B88D9E0A94AC43F20628DE8A905564273W96EK" TargetMode="External"/><Relationship Id="rId34" Type="http://schemas.openxmlformats.org/officeDocument/2006/relationships/hyperlink" Target="consultantplus://offline/ref=438C2EAEA817B87482AE1DBC183005A2CF68077F1B3CBD59D98CEEAC429477302CC8E5AC0757W468K" TargetMode="External"/><Relationship Id="rId42" Type="http://schemas.openxmlformats.org/officeDocument/2006/relationships/hyperlink" Target="consultantplus://offline/ref=438C2EAEA817B87482AE1DBC183005A2CF68077F1B3CBD59D98CEEAC429477302CC8E0AE0453W464K" TargetMode="External"/><Relationship Id="rId7" Type="http://schemas.openxmlformats.org/officeDocument/2006/relationships/hyperlink" Target="consultantplus://offline/ref=438C2EAEA817B87482AE1CB80B3005A2CF66087D106CEA5B88D9E0A94AC43F20628DE8A90557407CW965K" TargetMode="External"/><Relationship Id="rId12" Type="http://schemas.openxmlformats.org/officeDocument/2006/relationships/hyperlink" Target="consultantplus://offline/ref=438C2EAEA817B87482AE1CB80B3005A2CF660C7B176BEA5B88D9E0A94AC43F20628DE8A905564273W96EK" TargetMode="External"/><Relationship Id="rId17" Type="http://schemas.openxmlformats.org/officeDocument/2006/relationships/hyperlink" Target="consultantplus://offline/ref=438C2EAEA817B87482AE1CB80B3005A2CF63077C1268EA5B88D9E0A94AC43F20628DE8A90556417AW96FK" TargetMode="External"/><Relationship Id="rId25" Type="http://schemas.openxmlformats.org/officeDocument/2006/relationships/hyperlink" Target="consultantplus://offline/ref=438C2EAEA817B87482AE1DBC183005A2CF68077F1B3CBD59D98CEEAC429477302CC8E5AF0455W462K" TargetMode="External"/><Relationship Id="rId33" Type="http://schemas.openxmlformats.org/officeDocument/2006/relationships/hyperlink" Target="consultantplus://offline/ref=438C2EAEA817B87482AE1DBC183005A2CF68077F1B3CBD59D98CEEAC429477302CC8E1A1005EW461K" TargetMode="External"/><Relationship Id="rId38" Type="http://schemas.openxmlformats.org/officeDocument/2006/relationships/hyperlink" Target="consultantplus://offline/ref=438C2EAEA817B87482AE1DBC183005A2CF68077F1B3CBD59D98CEEAC429477302CC8E0AE0455W46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8C2EAEA817B87482AE1CB80B3005A2CF66087D106CEA5B88D9E0A94AC43F20628DE8A90556437FW964K" TargetMode="External"/><Relationship Id="rId20" Type="http://schemas.openxmlformats.org/officeDocument/2006/relationships/hyperlink" Target="consultantplus://offline/ref=438C2EAEA817B87482AE1CB80B3005A2CF620C7E176BEA5B88D9E0A94AC43F20628DE8A905564373W961K" TargetMode="External"/><Relationship Id="rId29" Type="http://schemas.openxmlformats.org/officeDocument/2006/relationships/hyperlink" Target="consultantplus://offline/ref=438C2EAEA817B87482AE1DBC183005A2CF68077F1B3CBD59D98CEEAC429477302CC8E5AC0652W463K" TargetMode="External"/><Relationship Id="rId41" Type="http://schemas.openxmlformats.org/officeDocument/2006/relationships/hyperlink" Target="consultantplus://offline/ref=438C2EAEA817B87482AE1DBC183005A2CF68077F1B3CBD59D98CEEAC429477302CC8E0AE0455W469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8C2EAEA817B87482AE1CB80B3005A2CF660C7B176BEA5B88D9E0A94AC43F20628DE8A90556457FW964K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438C2EAEA817B87482AE1DBC183005A2CF68077F1B3CBD59D98CEEAC429477302CC8E0AE0556W465K" TargetMode="External"/><Relationship Id="rId37" Type="http://schemas.openxmlformats.org/officeDocument/2006/relationships/hyperlink" Target="consultantplus://offline/ref=438C2EAEA817B87482AE1DBC183005A2CF68077F1B3CBD59D98CEEAC429477302CC8E0AD0C5FW466K" TargetMode="External"/><Relationship Id="rId40" Type="http://schemas.openxmlformats.org/officeDocument/2006/relationships/hyperlink" Target="consultantplus://offline/ref=438C2EAEA817B87482AE1DBC183005A2CF68077F1B3CBD59D98CEEAC429477302CC8E7AC0453W467K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8C2EAEA817B87482AE1CB80B3005A2CF650B7C1262EA5B88D9E0A94AWC64K" TargetMode="External"/><Relationship Id="rId23" Type="http://schemas.openxmlformats.org/officeDocument/2006/relationships/hyperlink" Target="consultantplus://offline/ref=438C2EAEA817B87482AE1CB80B3005A2CF650F7E126AEA5B88D9E0A94AWC64K" TargetMode="External"/><Relationship Id="rId28" Type="http://schemas.openxmlformats.org/officeDocument/2006/relationships/hyperlink" Target="consultantplus://offline/ref=438C2EAEA817B87482AE1DBC183005A2CF68077F1B3CBD59D98CEEWA6CK" TargetMode="External"/><Relationship Id="rId36" Type="http://schemas.openxmlformats.org/officeDocument/2006/relationships/hyperlink" Target="consultantplus://offline/ref=438C2EAEA817B87482AE1DBC183005A2CF68077F1B3CBD59D98CEEAC429477302CC8E0AD0C5FW464K" TargetMode="External"/><Relationship Id="rId10" Type="http://schemas.openxmlformats.org/officeDocument/2006/relationships/hyperlink" Target="consultantplus://offline/ref=438C2EAEA817B87482AE1CB80B3005A2CF660C7B176BEA5B88D9E0A94AC43F20628DE8A905564179W96FK" TargetMode="External"/><Relationship Id="rId19" Type="http://schemas.openxmlformats.org/officeDocument/2006/relationships/hyperlink" Target="consultantplus://offline/ref=438C2EAEA817B87482AE1CB80B3005A2CF66087D106CEA5B88D9E0A94AC43F20628DE8A90557417BW960K" TargetMode="External"/><Relationship Id="rId31" Type="http://schemas.openxmlformats.org/officeDocument/2006/relationships/hyperlink" Target="consultantplus://offline/ref=438C2EAEA817B87482AE1DBC183005A2CF68077F1B3CBD59D98CEEAC429477302CC8E0AD0C5FW462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C2EAEA817B87482AE1CB80B3005A2CF66087D106CEA5B88D9E0A94AC43F20628DE8A905564572W966K" TargetMode="External"/><Relationship Id="rId14" Type="http://schemas.openxmlformats.org/officeDocument/2006/relationships/hyperlink" Target="consultantplus://offline/ref=438C2EAEA817B87482AE1CB80B3005A2CF67067C1368EA5B88D9E0A94AC43F20628DE8A90553487AW962K" TargetMode="External"/><Relationship Id="rId22" Type="http://schemas.openxmlformats.org/officeDocument/2006/relationships/hyperlink" Target="consultantplus://offline/ref=438C2EAEA817B87482AE1CB80B3005A2CF66087D106CEA5B88D9E0A94AC43F20628DE8A905W56EK" TargetMode="External"/><Relationship Id="rId27" Type="http://schemas.openxmlformats.org/officeDocument/2006/relationships/hyperlink" Target="consultantplus://offline/ref=438C2EAEA817B87482AE1DBC183005A2CF68077F1B3CBD59D98CEEAC429477302CC8E1A10552W462K" TargetMode="External"/><Relationship Id="rId30" Type="http://schemas.openxmlformats.org/officeDocument/2006/relationships/hyperlink" Target="consultantplus://offline/ref=438C2EAEA817B87482AE1DBC183005A2CF68077F1B3CBD59D98CEEAC429477302CC8E1A10352W467K" TargetMode="External"/><Relationship Id="rId35" Type="http://schemas.openxmlformats.org/officeDocument/2006/relationships/hyperlink" Target="consultantplus://offline/ref=438C2EAEA817B87482AE1DBC183005A2CF68077F1B3CBD59D98CEEAC429477302CC8E0AE0556W46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6819-054F-4A35-B45A-1ECD3C86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ЛогинаНЮ</dc:creator>
  <cp:lastModifiedBy>user</cp:lastModifiedBy>
  <cp:revision>10</cp:revision>
  <cp:lastPrinted>2015-03-25T02:45:00Z</cp:lastPrinted>
  <dcterms:created xsi:type="dcterms:W3CDTF">2015-03-24T02:47:00Z</dcterms:created>
  <dcterms:modified xsi:type="dcterms:W3CDTF">2015-03-25T02:47:00Z</dcterms:modified>
</cp:coreProperties>
</file>