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</w:rPr>
      </w:pPr>
      <w:proofErr w:type="gramStart"/>
      <w:r w:rsidRPr="00811743">
        <w:rPr>
          <w:rFonts w:ascii="PT Serif" w:eastAsia="Times New Roman" w:hAnsi="PT Serif" w:cs="Times New Roman"/>
          <w:color w:val="22272F"/>
          <w:sz w:val="34"/>
          <w:szCs w:val="34"/>
        </w:rPr>
        <w:t>Постановление Правительства РФ от 28 декабря 2016 г. N 1512</w:t>
      </w:r>
      <w:r w:rsidRPr="00811743">
        <w:rPr>
          <w:rFonts w:ascii="PT Serif" w:eastAsia="Times New Roman" w:hAnsi="PT Serif" w:cs="Times New Roman"/>
          <w:color w:val="22272F"/>
          <w:sz w:val="34"/>
          <w:szCs w:val="34"/>
        </w:rPr>
        <w:br/>
        <w:t>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</w:t>
      </w:r>
      <w:proofErr w:type="gramEnd"/>
    </w:p>
    <w:p w:rsidR="00811743" w:rsidRPr="00811743" w:rsidRDefault="00811743" w:rsidP="00811743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</w:rPr>
      </w:pPr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от</w:t>
      </w:r>
      <w:proofErr w:type="gramEnd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: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соответствии со </w:t>
      </w:r>
      <w:hyperlink r:id="rId4" w:anchor="/document/12191967/entry/14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статьей 14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1. Утвердить прилагаемые: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hyperlink r:id="rId5" w:anchor="/document/71578990/entry/100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Положение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применения;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hyperlink r:id="rId6" w:anchor="/document/71578990/entry/2103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Положение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2. Настоящее постановление вступает в силу с 1 января 2017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11743" w:rsidRPr="00811743" w:rsidTr="00811743">
        <w:tc>
          <w:tcPr>
            <w:tcW w:w="3300" w:type="pct"/>
            <w:shd w:val="clear" w:color="auto" w:fill="FFFFFF"/>
            <w:vAlign w:val="bottom"/>
            <w:hideMark/>
          </w:tcPr>
          <w:p w:rsidR="00811743" w:rsidRPr="00811743" w:rsidRDefault="00811743" w:rsidP="00811743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16"/>
                <w:szCs w:val="16"/>
              </w:rPr>
            </w:pPr>
            <w:r w:rsidRPr="00811743">
              <w:rPr>
                <w:rFonts w:ascii="PT Serif" w:eastAsia="Times New Roman" w:hAnsi="PT Serif" w:cs="Times New Roman"/>
                <w:color w:val="22272F"/>
                <w:sz w:val="16"/>
                <w:szCs w:val="16"/>
              </w:rPr>
              <w:t>Председатель Правительства</w:t>
            </w:r>
            <w:r w:rsidRPr="00811743">
              <w:rPr>
                <w:rFonts w:ascii="PT Serif" w:eastAsia="Times New Roman" w:hAnsi="PT Serif" w:cs="Times New Roman"/>
                <w:color w:val="22272F"/>
                <w:sz w:val="16"/>
                <w:szCs w:val="16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11743" w:rsidRPr="00811743" w:rsidRDefault="00811743" w:rsidP="00811743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16"/>
                <w:szCs w:val="16"/>
              </w:rPr>
            </w:pPr>
            <w:r w:rsidRPr="00811743">
              <w:rPr>
                <w:rFonts w:ascii="PT Serif" w:eastAsia="Times New Roman" w:hAnsi="PT Serif" w:cs="Times New Roman"/>
                <w:color w:val="22272F"/>
                <w:sz w:val="16"/>
                <w:szCs w:val="16"/>
              </w:rPr>
              <w:t>Д. Медведев</w:t>
            </w:r>
          </w:p>
        </w:tc>
      </w:tr>
    </w:tbl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</w:t>
      </w:r>
    </w:p>
    <w:p w:rsidR="00811743" w:rsidRPr="00811743" w:rsidRDefault="00811743" w:rsidP="00811743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14"/>
          <w:szCs w:val="14"/>
        </w:rPr>
      </w:pPr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Положение изменено с 7 сентября 2019 г. - </w:t>
      </w:r>
      <w:hyperlink r:id="rId7" w:anchor="/document/72668260/entry/10001" w:history="1">
        <w:r w:rsidRPr="00811743">
          <w:rPr>
            <w:rFonts w:ascii="PT Serif" w:eastAsia="Times New Roman" w:hAnsi="PT Serif" w:cs="Times New Roman"/>
            <w:color w:val="551A8B"/>
            <w:sz w:val="14"/>
          </w:rPr>
          <w:t>Постановление</w:t>
        </w:r>
      </w:hyperlink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 Правительства России от 28 августа 2019 г. N 1110</w:t>
      </w:r>
    </w:p>
    <w:p w:rsidR="00811743" w:rsidRPr="00811743" w:rsidRDefault="00811743" w:rsidP="00811743">
      <w:pPr>
        <w:shd w:val="clear" w:color="auto" w:fill="F0E9D3"/>
        <w:spacing w:after="172" w:line="240" w:lineRule="auto"/>
        <w:jc w:val="both"/>
        <w:rPr>
          <w:rFonts w:ascii="PT Serif" w:eastAsia="Times New Roman" w:hAnsi="PT Serif" w:cs="Times New Roman"/>
          <w:color w:val="464C55"/>
          <w:sz w:val="14"/>
          <w:szCs w:val="14"/>
        </w:rPr>
      </w:pPr>
      <w:hyperlink r:id="rId8" w:anchor="/document/77682830/entry/1000" w:history="1">
        <w:r w:rsidRPr="00811743">
          <w:rPr>
            <w:rFonts w:ascii="PT Serif" w:eastAsia="Times New Roman" w:hAnsi="PT Serif" w:cs="Times New Roman"/>
            <w:color w:val="551A8B"/>
            <w:sz w:val="14"/>
          </w:rPr>
          <w:t>См. предыдущую редакцию</w:t>
        </w:r>
      </w:hyperlink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</w:rPr>
      </w:pPr>
      <w:r w:rsidRPr="00811743">
        <w:rPr>
          <w:rFonts w:ascii="PT Serif" w:eastAsia="Times New Roman" w:hAnsi="PT Serif" w:cs="Times New Roman"/>
          <w:color w:val="22272F"/>
        </w:rPr>
        <w:t>Положение</w:t>
      </w:r>
      <w:r w:rsidRPr="00811743">
        <w:rPr>
          <w:rFonts w:ascii="PT Serif" w:eastAsia="Times New Roman" w:hAnsi="PT Serif" w:cs="Times New Roman"/>
          <w:color w:val="22272F"/>
        </w:rPr>
        <w:br/>
        <w:t>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</w:t>
      </w:r>
      <w:r w:rsidRPr="00811743">
        <w:rPr>
          <w:rFonts w:ascii="PT Serif" w:eastAsia="Times New Roman" w:hAnsi="PT Serif" w:cs="Times New Roman"/>
          <w:color w:val="22272F"/>
        </w:rPr>
        <w:br/>
        <w:t>(утв. </w:t>
      </w:r>
      <w:hyperlink r:id="rId9" w:anchor="/document/71578990/entry/0" w:history="1">
        <w:r w:rsidRPr="00811743">
          <w:rPr>
            <w:rFonts w:ascii="PT Serif" w:eastAsia="Times New Roman" w:hAnsi="PT Serif" w:cs="Times New Roman"/>
            <w:color w:val="551A8B"/>
          </w:rPr>
          <w:t>постановлением</w:t>
        </w:r>
      </w:hyperlink>
      <w:r w:rsidRPr="00811743">
        <w:rPr>
          <w:rFonts w:ascii="PT Serif" w:eastAsia="Times New Roman" w:hAnsi="PT Serif" w:cs="Times New Roman"/>
          <w:color w:val="22272F"/>
        </w:rPr>
        <w:t> Правительства РФ от 28 декабря 2016 г. N 1512)</w:t>
      </w:r>
    </w:p>
    <w:p w:rsidR="00811743" w:rsidRPr="00811743" w:rsidRDefault="00811743" w:rsidP="00811743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</w:rPr>
      </w:pPr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от</w:t>
      </w:r>
      <w:proofErr w:type="gramEnd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: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lastRenderedPageBreak/>
        <w:t xml:space="preserve">1.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Настоящее Положение устанавливает порядок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(далее соответственно - больные, лекарственные препараты), порядок и условия передачи лекарственных препаратов федеральным государственным учреждениям, оказывающим медицинскую помощь, подведомственным Федеральному медико-биологическому агентству, а также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в собственность субъектов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2. Источниками финансирования организации обеспечения лекарственными препаратами больных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3. Право больного на обеспечение лекарственными препаратами возникает со дня включения сведений о нем в федеральный или в региональный сегменты Федерального регистра лиц, инфицированных вирусом иммунодефицита человека (далее - Федеральный регистр).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Дата включения больного в указанные сегменты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5.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Федеральное медико-биологическое агентство и органы исполнительной власти субъектов Российской Федерации в сфере охраны здоровья </w:t>
      </w:r>
      <w:hyperlink r:id="rId10" w:anchor="/document/72762106/entry/1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определяют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соответственно подведомственные федеральные государственные учреждения, оказывающие медицинскую помощь, и расположенные в субъектах Российской Федерации организации, имеющие лицензию на осуществление медицинской и (или) фармацевтической деятельности (далее - организации-получатели), в целях поставки организациям-получателям лекарственных препаратов.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Органы исполнительной власти субъектов Российской Федерации в сфере охраны здоровья, а также Федеральное медико-биологическое агентство не позднее 1 ноября текущего года представляют в Министерство здравоохранения Российской Федерации заявки на поставку лекарственных препаратов (далее - заявки) по </w:t>
      </w:r>
      <w:hyperlink r:id="rId11" w:anchor="/document/73932191/entry/1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форме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, утвержденной указанным Министерством, с приложением обоснований по их объему, а также перечень организаций-получателей.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6. Министерство здравоохранения Российской Федерации формирует комиссию по рассмотрению заявок (далее - комиссия), утверждает </w:t>
      </w:r>
      <w:hyperlink r:id="rId12" w:anchor="/document/73007310/entry/100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положение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 комисс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ии и ее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</w:t>
      </w:r>
      <w:hyperlink r:id="rId13" w:anchor="/document/73007310/entry/200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состав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Согласование заявок осуществляется комиссией с участием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представителей органов исполнительной власти субъектов Российской Федерации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и Федерального медико-биологического агентства (в том числе с использованием информационно-телекоммуникационных технологий).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7. Объем поставок лекарственных препаратов формируется в пределах бюджетных ассигнований, предусмотренных в </w:t>
      </w:r>
      <w:hyperlink r:id="rId14" w:anchor="/document/5759555/entry/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федеральном законе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8.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 и Федеральным медико-биологическим агентством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Федерации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10.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</w:t>
      </w: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lastRenderedPageBreak/>
        <w:t>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Федерации, а также Федеральному медико-биологическому агентству с указанием номенклатуры, количества и стоимости лекарственных препаратов.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11.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Министерство здравоохранения Российской Федерации в течение 5 рабочих дней со дня издания распорядительного акта, предусмотренного </w:t>
      </w:r>
      <w:hyperlink r:id="rId15" w:anchor="/document/71578990/entry/1008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10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органы), и Федеральное медико-биологическое агентство извещение о поставке лекарственных препаратов и акт приема-передачи (в 2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экземплярах),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подписанные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указанным Министерством.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12.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Уполномоченные органы и Федеральное медико-биологическое агентство в течение 5 рабочих дней со дня получения извещения о поставке лекарственных препаратов и акта приема-передачи, предусмотренных </w:t>
      </w:r>
      <w:hyperlink r:id="rId16" w:anchor="/document/71578990/entry/1009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11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подписывают и заверяют печатью оба экземпляра извещения о поставке лекарственных препаратов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указанного акта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приема-передачи.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13.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Уполномоченные органы и Федеральное медико-биологическое агентство на основании акта приема-передачи, предусмотренного </w:t>
      </w:r>
      <w:hyperlink r:id="rId17" w:anchor="/document/71578990/entry/1009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11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принимают на учет лекарственные препараты и в течение 5 рабочих дней со дня получения указанного акта приема-передачи издают соответствующие распорядительные акты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15.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и Федерального медико-биологического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агентства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 и Федеральным медико-биологическим агентством.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Передача лекарственных препаратов между субъектами Российской Федерации и Федеральным медико-биологическим агентством осуществляется на основании соответствующего распорядительного акта уполномоченного органа или Федерального медико-биологического агентства о передаче лекарственных препаратов, извещения о поставке лекарственных препаратов 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соответствующим уполномоченным органом и Федеральным медико-биологическим агентством.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17.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уполномоченным органам и Федеральному медико-биологическому агентству и согласованных перераспределениях лекарственных препаратов, в том числе между уполномоченными органами и Федеральным медико-биологическим агентством, в целях осуществления контроля за целевым использованием лекарственных препаратов.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811743" w:rsidRPr="00811743" w:rsidRDefault="00811743" w:rsidP="00811743">
      <w:pPr>
        <w:shd w:val="clear" w:color="auto" w:fill="F0E9D3"/>
        <w:spacing w:after="172" w:line="240" w:lineRule="auto"/>
        <w:jc w:val="both"/>
        <w:rPr>
          <w:rFonts w:ascii="PT Serif" w:eastAsia="Times New Roman" w:hAnsi="PT Serif" w:cs="Times New Roman"/>
          <w:color w:val="464C55"/>
          <w:sz w:val="14"/>
          <w:szCs w:val="14"/>
        </w:rPr>
      </w:pPr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Положение дополнено пунктом 18</w:t>
      </w:r>
      <w:r w:rsidRPr="00811743">
        <w:rPr>
          <w:rFonts w:ascii="PT Serif" w:eastAsia="Times New Roman" w:hAnsi="PT Serif" w:cs="Times New Roman"/>
          <w:color w:val="464C55"/>
          <w:sz w:val="10"/>
          <w:szCs w:val="10"/>
          <w:vertAlign w:val="superscript"/>
        </w:rPr>
        <w:t> 1</w:t>
      </w:r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 с 30 мая 2020 г. - </w:t>
      </w:r>
      <w:hyperlink r:id="rId18" w:anchor="/document/74057722/entry/1" w:history="1">
        <w:r w:rsidRPr="00811743">
          <w:rPr>
            <w:rFonts w:ascii="PT Serif" w:eastAsia="Times New Roman" w:hAnsi="PT Serif" w:cs="Times New Roman"/>
            <w:color w:val="551A8B"/>
            <w:sz w:val="14"/>
          </w:rPr>
          <w:t>Постановление</w:t>
        </w:r>
      </w:hyperlink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 Правительства России от 20 мая 2020 г. N 708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18</w:t>
      </w:r>
      <w:r w:rsidRPr="00811743">
        <w:rPr>
          <w:rFonts w:ascii="PT Serif" w:eastAsia="Times New Roman" w:hAnsi="PT Serif" w:cs="Times New Roman"/>
          <w:color w:val="22272F"/>
          <w:sz w:val="11"/>
          <w:szCs w:val="11"/>
          <w:vertAlign w:val="superscript"/>
        </w:rPr>
        <w:t> 1</w:t>
      </w: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. В случае нахождения больного на лечении в стационарных условиях обеспечение лекарственными препаратами, закупаемыми за счет средств федерального бюджета, осуществляется путем их предоставления организацией-получателем медицинской организации, в которой проводится лечение.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lastRenderedPageBreak/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23.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не превышающий 6 месяцев, такому больному органом исполнительной власти субъекта Российской Федерации в сфере охраны здоровья или федеральным государственным учреждением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, оказывающим медицинскую помощь, подведомственным Федеральному медико-биологическому агентству, организуется обеспечение лекарственными препаратами на срок приема, равный сроку его выезда за пределы территории субъекта Российской Федерации, а также территории, подлежащей обслуживанию Федеральным медико-биологическим агентством, либо, учитывая сроки годности имеющихся остатков лекарственных препаратов, обеспечение такого больного лекарственными препаратами на соответствующий срок.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24.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случае выезда больного за пределы субъекта Российской Федерации, на территории которого больной проживает, а также за пределы территории, подлежащей обслуживанию Федеральным медико-биологическим агентством, на территорию другого субъекта Российской Федерации или другую территорию, подлежащую обслуживанию Федеральным медико-биологическим агентством,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месяца либо организуется органом исполнительной власти субъекта Российской Федерации в сфере охраны здоровья или федеральным государственным учреждением, оказывающим медицинскую помощь, подведомственным Федеральному медико-биологическому агентству, обеспечение такого больного лекарственными препаратами на срок приема не более одного месяца.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Сведения о таком больном подлежат исключению из регионального сегмента Федерального регистра, который ведется органом исполнительной власти в сфере охраны здоровья субъекта Российской Федерации, с территории которого выезжает больной, или федерального сегмента (в случае выезда больного с территории, подлежащей обслуживанию Федеральным медико-биологическим агентством)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Федерации, на территорию которого въехал больной, или Федеральному медико-биологическому агентству для включения в установленном порядке в другой региональный сегмент или федеральный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Датой включения в таких случаях сведений о больном в другой региональный сегмент или федеральный сегмент Федерального регистра является день, следующий за днем исключения в соответствии с </w:t>
      </w:r>
      <w:hyperlink r:id="rId19" w:anchor="/document/71578990/entry/10242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абзацем вторым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пункта сведений о нем из соответствующего регионального сегмента или федерального сегмента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25.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Орган исполнительной власти в сфере охраны здоровья субъекта Российской Федерации, с территории которого выехал больной, или Федеральное медико-биологическое агентство (в случае выезда больного с обслуживаемой им территории)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или Федерального медико-биологического агентства (в случае въезда больного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на обслуживаемую им территорию) сведения о количестве назначенных или фактически предоставленных больному (его законному представителю) лекарственных препаратов в соответствии с </w:t>
      </w:r>
      <w:hyperlink r:id="rId20" w:anchor="/document/71578990/entry/1024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24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Положения.</w:t>
      </w:r>
    </w:p>
    <w:p w:rsidR="00811743" w:rsidRPr="00811743" w:rsidRDefault="00811743" w:rsidP="00811743">
      <w:pPr>
        <w:shd w:val="clear" w:color="auto" w:fill="F0E9D3"/>
        <w:spacing w:after="0" w:line="240" w:lineRule="auto"/>
        <w:jc w:val="both"/>
        <w:rPr>
          <w:rFonts w:ascii="PT Serif" w:eastAsia="Times New Roman" w:hAnsi="PT Serif" w:cs="Times New Roman"/>
          <w:color w:val="464C55"/>
          <w:sz w:val="14"/>
          <w:szCs w:val="14"/>
        </w:rPr>
      </w:pPr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Положение изменено с 7 сентября 2019 г. - </w:t>
      </w:r>
      <w:hyperlink r:id="rId21" w:anchor="/document/72668260/entry/10002" w:history="1">
        <w:r w:rsidRPr="00811743">
          <w:rPr>
            <w:rFonts w:ascii="PT Serif" w:eastAsia="Times New Roman" w:hAnsi="PT Serif" w:cs="Times New Roman"/>
            <w:color w:val="551A8B"/>
            <w:sz w:val="14"/>
          </w:rPr>
          <w:t>Постановление</w:t>
        </w:r>
      </w:hyperlink>
      <w:r w:rsidRPr="00811743">
        <w:rPr>
          <w:rFonts w:ascii="PT Serif" w:eastAsia="Times New Roman" w:hAnsi="PT Serif" w:cs="Times New Roman"/>
          <w:color w:val="464C55"/>
          <w:sz w:val="14"/>
          <w:szCs w:val="14"/>
        </w:rPr>
        <w:t> Правительства России от 28 августа 2019 г. N 1110</w:t>
      </w:r>
    </w:p>
    <w:p w:rsidR="00811743" w:rsidRPr="00811743" w:rsidRDefault="00811743" w:rsidP="00811743">
      <w:pPr>
        <w:shd w:val="clear" w:color="auto" w:fill="F0E9D3"/>
        <w:spacing w:after="172" w:line="240" w:lineRule="auto"/>
        <w:jc w:val="both"/>
        <w:rPr>
          <w:rFonts w:ascii="PT Serif" w:eastAsia="Times New Roman" w:hAnsi="PT Serif" w:cs="Times New Roman"/>
          <w:color w:val="464C55"/>
          <w:sz w:val="14"/>
          <w:szCs w:val="14"/>
        </w:rPr>
      </w:pPr>
      <w:hyperlink r:id="rId22" w:anchor="/document/77682830/entry/2103" w:history="1">
        <w:r w:rsidRPr="00811743">
          <w:rPr>
            <w:rFonts w:ascii="PT Serif" w:eastAsia="Times New Roman" w:hAnsi="PT Serif" w:cs="Times New Roman"/>
            <w:color w:val="551A8B"/>
            <w:sz w:val="14"/>
          </w:rPr>
          <w:t>См. предыдущую редакцию</w:t>
        </w:r>
      </w:hyperlink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</w:rPr>
      </w:pPr>
      <w:r w:rsidRPr="00811743">
        <w:rPr>
          <w:rFonts w:ascii="PT Serif" w:eastAsia="Times New Roman" w:hAnsi="PT Serif" w:cs="Times New Roman"/>
          <w:color w:val="22272F"/>
        </w:rPr>
        <w:lastRenderedPageBreak/>
        <w:t>Положение</w:t>
      </w:r>
      <w:r w:rsidRPr="00811743">
        <w:rPr>
          <w:rFonts w:ascii="PT Serif" w:eastAsia="Times New Roman" w:hAnsi="PT Serif" w:cs="Times New Roman"/>
          <w:color w:val="22272F"/>
        </w:rPr>
        <w:br/>
        <w:t>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</w:t>
      </w:r>
      <w:r w:rsidRPr="00811743">
        <w:rPr>
          <w:rFonts w:ascii="PT Serif" w:eastAsia="Times New Roman" w:hAnsi="PT Serif" w:cs="Times New Roman"/>
          <w:color w:val="22272F"/>
        </w:rPr>
        <w:br/>
        <w:t>(утв. </w:t>
      </w:r>
      <w:hyperlink r:id="rId23" w:anchor="/document/71578990/entry/0" w:history="1">
        <w:r w:rsidRPr="00811743">
          <w:rPr>
            <w:rFonts w:ascii="PT Serif" w:eastAsia="Times New Roman" w:hAnsi="PT Serif" w:cs="Times New Roman"/>
            <w:color w:val="551A8B"/>
          </w:rPr>
          <w:t>постановлением</w:t>
        </w:r>
      </w:hyperlink>
      <w:r w:rsidRPr="00811743">
        <w:rPr>
          <w:rFonts w:ascii="PT Serif" w:eastAsia="Times New Roman" w:hAnsi="PT Serif" w:cs="Times New Roman"/>
          <w:color w:val="22272F"/>
        </w:rPr>
        <w:t> Правительства РФ от 28 декабря 2016 г. N 1512)</w:t>
      </w:r>
    </w:p>
    <w:p w:rsidR="00811743" w:rsidRPr="00811743" w:rsidRDefault="00811743" w:rsidP="00811743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PT Serif" w:eastAsia="Times New Roman" w:hAnsi="PT Serif" w:cs="Times New Roman"/>
          <w:color w:val="3272C0"/>
          <w:sz w:val="24"/>
          <w:szCs w:val="24"/>
        </w:rPr>
      </w:pPr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от</w:t>
      </w:r>
      <w:proofErr w:type="gramEnd"/>
      <w:r w:rsidRPr="00811743">
        <w:rPr>
          <w:rFonts w:ascii="PT Serif" w:eastAsia="Times New Roman" w:hAnsi="PT Serif" w:cs="Times New Roman"/>
          <w:color w:val="3272C0"/>
          <w:sz w:val="24"/>
          <w:szCs w:val="24"/>
        </w:rPr>
        <w:t>: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Настоящее Положение устанавливает порядок организации обеспечения лиц, больных туберкулезом с множественной лекарственной устойчивостью возбудителя (далее - больные), антибактериальными и противотуберкулезными лекарственными препаратами для медицинского применения, предназначенными для лечения этого заболевания и включенными в перечень жизненно необходимых и важнейших лекарственных препаратов (далее - лекарственные препараты), а также порядок и условия передачи лекарственных препаратов в собственность субъектов Российской Федерации.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2. Источником финансирования организации обеспечения больных лекарственными препаратами являются бюджетные ассигнования, предусмотренные в федеральном бюджете Министерству здравоохранения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3. Право больного на обеспечение лекарственными препаратами возникает со дня включения сведений о нем в региональный сегмент Федерального регистра лиц, больных туберкулезом (далее - Федеральный регистр).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4.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стандартов медицинской помощи, клинических рекомендаций и средней курсовой дозы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5.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Органы исполнительной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(далее - заявки) по </w:t>
      </w:r>
      <w:hyperlink r:id="rId24" w:anchor="/document/73932191/entry/1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форме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, утвержденной указанным Министерством, с приложением обоснований по их объему, а также перечень организаций, имеющих лицензию на осуществление медицинской и (или) фармацевтической деятельности в субъектах Российской Федерации (далее - организации-получатели), в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целях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поставки организациям-получателям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Потребность (объем поставки) в лекарственном препарате определяется с учетом клинических рекомендаций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6. Министерство здравоохранения Российской Федерации формирует комиссию по рассмотрению заявок (далее - комиссия), утверждает </w:t>
      </w:r>
      <w:hyperlink r:id="rId25" w:anchor="/document/73007310/entry/100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положение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 комисс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ии и ее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</w:t>
      </w:r>
      <w:hyperlink r:id="rId26" w:anchor="/document/73007310/entry/200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состав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. Комиссия на своем заседании рассматривает заявки на предмет обоснованности заявленных объемов лекарственных препаратов, при необходимости корректирует их и согласовывает с вынесением соответствующего решения.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Согласование заявок осуществляется комиссией с участием представителей органов исполнительной власти субъектов Российской Федерации (в том числе с использованием информационно-телекоммуникационных технологий).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7. Объем поставок лекарственных препаратов формируется в пределах бюджетных ассигнований, предусмотренных в </w:t>
      </w:r>
      <w:hyperlink r:id="rId27" w:anchor="/document/5759555/entry/0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федеральном законе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здравоохранения Российской Федерации на закупку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8.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соответствии с объемами поставок лекарственных препаратов, утвержденными органами исполнительной власти субъектов Российской Федерации в сфере охраны здоровья с учетом решения комиссии,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9. Поставщики лекарственных препаратов, определенные в соответствии с законодательством Российской Федерации, представляют в Министерство здравоохранения Российской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Федерации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препаратов, в том числе накладные и акты приема-передачи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lastRenderedPageBreak/>
        <w:t>10. Министерство здравоохранения Российской Федерации в течение 10 рабочих дней со дня поступления акта приема-передачи принимает на учет лекарственные препараты и издает распорядительные акты о передаче лекарственных препаратов в собственность субъектов Российской Федерации с указанием номенклатуры, количества и стоимости лекарственных препаратов в отношении каждого субъекта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11.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Министерство здравоохранения Российской Федерации в течение 5 рабочих дней со дня издания распорядительного акта, предусмотренного </w:t>
      </w:r>
      <w:hyperlink r:id="rId28" w:anchor="/document/71578990/entry/2008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10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направляет в органы исполнительной власти субъектов Российской Федерации, определенные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(далее - уполномоченные органы) извещение о поставке лекарственных препаратов и акт приема-передачи (в 2 экземплярах), подписанные указанным Министерством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12.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Уполномоченные органы в течение 5 рабочих дней со дня получения извещения о поставке лекарственных препаратов и акта приема-передачи, предусмотренных </w:t>
      </w:r>
      <w:hyperlink r:id="rId29" w:anchor="/document/71578990/entry/2009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11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подписывают и заверяют печатью оба экземпляра извещения о поставке лекарственного препарата и оба экземпляра акта приема-передачи, после чего возвращают в Министерство здравоохранения Российской Федерации один экземпляр указанного извещения и один экземпляр указанного акта приема-передачи.</w:t>
      </w:r>
      <w:proofErr w:type="gramEnd"/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13. Уполномоченный орган на основании акта приема-передачи, предусмотренного </w:t>
      </w:r>
      <w:hyperlink r:id="rId30" w:anchor="/document/71578990/entry/2009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11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Положения, принимает на учет лекарственные препараты и в течение 5 рабочих дней со дня получения указанного акта приема-передачи издает распорядительный акт о передаче лекарственных препаратов 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14. Организации-получатели в течение 2 рабочих дней со дня получения документов, подтверждающих передачу им лекарственных препаратов, принимают лекарственные препараты на учет, обеспечивают их сохранность и целевое использование.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15.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Федерации, доводит до сведения уполномоченных органов полученные по результатам мониторинга данные, в том числе сведения о номенклатуре, количестве и стоимости лекарственных препаратов,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субъекте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Российской Федерации численности больных,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16.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приема-передачи. Министерство здравоохранения Российской Федерации уведомляется о передаче лекарственных препаратов в 10-дневный срок после подписания акта приема-передачи уполномоченными органами.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17. Министерство здравоохранения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сведения о передаче лекарственных препаратов в собственность субъекта Российской Федерации и согласованных перераспределениях лекарственных препаратов между субъектами Российской Федерации в целях осуществления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контроля за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целевым использованием лекарственных препаратов.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18. В целях обеспечения больных лекарственными препаратами в порядке, установленном законодательством Российской Федерации, осуществляется назначение лекарственных препаратов и оформление рецептов на лекарственные препараты.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19.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20.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21. Медицинская организация предоставляет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lastRenderedPageBreak/>
        <w:t>22. Назначение и отпуск больному (его законному представителю) лекарственных препаратов осуществляется в срок, не превышающий 20 рабочих дней со дня включения больного в региональный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23.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не превышающий 6 месяцев,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 на срок приема, равный сроку его выезда за пределы территории субъекта Российской Федерации, либо, учитывая сроки годности имеющихся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остатков лекарственных препаратов, обеспечение такого больного лекарственными препаратами на соответствующий срок.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Сведения о количестве назначенных или отпущенных больному (его законному представителю) лекарственных препаратов вносятся в региональный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24.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В случае выезда больного за пределы субъекта Российской Федерации, на территории которого больной проживает, на территорию другого субъекта Российской Федерации на срок, превышающий 6 месяцев, или в случае изменения места жительства такому больному назначаются лекарственные препараты на срок приема не более одного месяца либо органом исполнительной власти субъекта Российской Федерации в сфере охраны здоровья организуется обеспечение такого больного лекарственными препаратами</w:t>
      </w:r>
      <w:proofErr w:type="gramEnd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 на срок приема не более одного месяца.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Сведения о таком больном подлежат исключению из соответствующего регионального сегмента Федерального регистра и передаче (в том числе с использованием информационно-телекоммуникационных технологий) органу исполнительной власти в сфере охраны здоровья субъекта Российской Федерации, на территорию которого въехал больной, для включения в другой региональный сегмент Федерального регистра.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Датой включения сведений о больном в другой региональный сегмент Федерального регистра является день, следующий за днем исключения в соответствии с </w:t>
      </w:r>
      <w:hyperlink r:id="rId31" w:anchor="/document/71578990/entry/20242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абзацем вторым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пункта сведений о нем из регионального сегмента Федерального регистра органом исполнительной власти в сфере охраны здоровья субъекта Российской Федерации, с территории которого выехал больной.</w:t>
      </w:r>
    </w:p>
    <w:p w:rsidR="00811743" w:rsidRPr="00811743" w:rsidRDefault="00811743" w:rsidP="008117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16"/>
          <w:szCs w:val="16"/>
        </w:rPr>
      </w:pPr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 xml:space="preserve">25. </w:t>
      </w:r>
      <w:proofErr w:type="gramStart"/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Орган исполнительной власти в сфере охраны здоровья субъекта Российской Федерации, с территории которого выехал больной, представляет (в том числе с использованием информационно-телекоммуникационных технологий) по запросу органа исполнительной власти в сфере охраны здоровья субъекта Российской Федерации, на территорию которого въехал больной, сведения о количестве назначенных или фактически предоставленных больному (его законному представителю) лекарственных препаратов в соответствии с </w:t>
      </w:r>
      <w:hyperlink r:id="rId32" w:anchor="/document/71578990/entry/2024" w:history="1">
        <w:r w:rsidRPr="00811743">
          <w:rPr>
            <w:rFonts w:ascii="PT Serif" w:eastAsia="Times New Roman" w:hAnsi="PT Serif" w:cs="Times New Roman"/>
            <w:color w:val="551A8B"/>
            <w:sz w:val="16"/>
          </w:rPr>
          <w:t>пунктом 24</w:t>
        </w:r>
      </w:hyperlink>
      <w:r w:rsidRPr="00811743">
        <w:rPr>
          <w:rFonts w:ascii="PT Serif" w:eastAsia="Times New Roman" w:hAnsi="PT Serif" w:cs="Times New Roman"/>
          <w:color w:val="22272F"/>
          <w:sz w:val="16"/>
          <w:szCs w:val="16"/>
        </w:rPr>
        <w:t> настоящего Положения.</w:t>
      </w:r>
      <w:proofErr w:type="gramEnd"/>
    </w:p>
    <w:p w:rsidR="008865BD" w:rsidRDefault="008865BD"/>
    <w:sectPr w:rsidR="0088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811743"/>
    <w:rsid w:val="00811743"/>
    <w:rsid w:val="0088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1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17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1743"/>
    <w:rPr>
      <w:color w:val="0000FF"/>
      <w:u w:val="single"/>
    </w:rPr>
  </w:style>
  <w:style w:type="paragraph" w:customStyle="1" w:styleId="s16">
    <w:name w:val="s_16"/>
    <w:basedOn w:val="a"/>
    <w:rsid w:val="008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554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96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734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166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9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017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4590</Words>
  <Characters>26168</Characters>
  <Application>Microsoft Office Word</Application>
  <DocSecurity>0</DocSecurity>
  <Lines>218</Lines>
  <Paragraphs>61</Paragraphs>
  <ScaleCrop>false</ScaleCrop>
  <Company>ГБУЗ "Хоринская ЦРБ"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2020-08-25T05:05:00Z</dcterms:created>
  <dcterms:modified xsi:type="dcterms:W3CDTF">2020-08-25T05:05:00Z</dcterms:modified>
</cp:coreProperties>
</file>